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2CB7203F" w14:textId="5B390032" w:rsidR="00461F02" w:rsidRDefault="00036035" w:rsidP="00461F02">
      <w:pPr>
        <w:spacing w:after="0" w:line="240" w:lineRule="auto"/>
        <w:jc w:val="center"/>
        <w:rPr>
          <w:rStyle w:val="Hyperlink"/>
          <w:b/>
          <w:sz w:val="24"/>
          <w:szCs w:val="24"/>
        </w:rPr>
      </w:pPr>
      <w:hyperlink r:id="rId11" w:history="1">
        <w:r w:rsidR="00BC68AD" w:rsidRPr="00ED003C">
          <w:rPr>
            <w:rStyle w:val="Hyperlink"/>
            <w:b/>
            <w:sz w:val="24"/>
            <w:szCs w:val="24"/>
          </w:rPr>
          <w:t>https://min-kulture.gov.hr/istaknute-teme-12/obavijesti-vezane-uz-potrese-19796/24212</w:t>
        </w:r>
      </w:hyperlink>
    </w:p>
    <w:p w14:paraId="0348A4FA" w14:textId="77777777" w:rsidR="00BC68AD" w:rsidRPr="00B35FA6" w:rsidRDefault="00BC68AD" w:rsidP="00461F02">
      <w:pPr>
        <w:spacing w:after="0" w:line="240" w:lineRule="auto"/>
        <w:jc w:val="center"/>
        <w:rPr>
          <w:rStyle w:val="Bodytext285pt"/>
          <w:rFonts w:eastAsiaTheme="minorHAnsi"/>
          <w:b/>
          <w:sz w:val="24"/>
          <w:szCs w:val="24"/>
          <w:lang w:val="hr-HR"/>
        </w:rPr>
      </w:pP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74EE6AB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D36A34">
        <w:rPr>
          <w:rStyle w:val="Bodytext285pt"/>
          <w:rFonts w:eastAsiaTheme="minorHAnsi"/>
          <w:b/>
          <w:sz w:val="18"/>
          <w:szCs w:val="18"/>
          <w:lang w:val="hr-HR"/>
        </w:rPr>
        <w:t xml:space="preserve"> i Mehanizam oporavka i otpornosti</w:t>
      </w:r>
      <w:r w:rsidR="006D30C7">
        <w:rPr>
          <w:rStyle w:val="Bodytext285pt"/>
          <w:rFonts w:eastAsiaTheme="minorHAnsi"/>
          <w:b/>
          <w:sz w:val="18"/>
          <w:szCs w:val="18"/>
          <w:lang w:val="hr-HR"/>
        </w:rPr>
        <w:t xml:space="preserve"> </w:t>
      </w:r>
      <w:r w:rsidR="006D30C7" w:rsidRPr="006D30C7">
        <w:rPr>
          <w:rStyle w:val="Bodytext285pt"/>
          <w:rFonts w:eastAsiaTheme="minorHAnsi"/>
          <w:b/>
          <w:sz w:val="18"/>
          <w:szCs w:val="18"/>
          <w:lang w:val="hr-HR"/>
        </w:rPr>
        <w:t>u okviru Nacionalnog plana oporavka i otpornosti 2021.-2026</w:t>
      </w:r>
      <w:r w:rsidR="006D30C7">
        <w:rPr>
          <w:rStyle w:val="Bodytext285pt"/>
          <w:rFonts w:eastAsiaTheme="minorHAnsi"/>
          <w:b/>
          <w:sz w:val="18"/>
          <w:szCs w:val="18"/>
          <w:lang w:val="hr-HR"/>
        </w:rPr>
        <w:t>.</w:t>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7A0C51" w:rsidRPr="00826E16">
        <w:rPr>
          <w:rFonts w:ascii="Times New Roman" w:hAnsi="Times New Roman" w:cs="Times New Roman"/>
          <w:b/>
          <w:sz w:val="18"/>
          <w:szCs w:val="18"/>
        </w:rPr>
        <w:t xml:space="preserve"> </w:t>
      </w:r>
    </w:p>
    <w:p w14:paraId="24E6BD98" w14:textId="4C4D20D3" w:rsidR="001875F5" w:rsidRDefault="001B6E45" w:rsidP="00D36A34">
      <w:pPr>
        <w:spacing w:after="0" w:line="240" w:lineRule="auto"/>
        <w:ind w:left="708" w:hanging="708"/>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24AD5" w:rsidRPr="00E24AD5">
        <w:rPr>
          <w:rFonts w:ascii="Times New Roman" w:hAnsi="Times New Roman" w:cs="Times New Roman"/>
          <w:b/>
          <w:sz w:val="18"/>
          <w:szCs w:val="18"/>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00781F">
        <w:rPr>
          <w:rFonts w:ascii="Times New Roman" w:hAnsi="Times New Roman" w:cs="Times New Roman"/>
          <w:b/>
          <w:sz w:val="18"/>
          <w:szCs w:val="18"/>
        </w:rPr>
        <w:t xml:space="preserve"> - Druga izmjena Poziva</w:t>
      </w:r>
      <w:r w:rsidR="00461F02" w:rsidRPr="00826E16">
        <w:rPr>
          <w:rFonts w:ascii="Times New Roman" w:hAnsi="Times New Roman" w:cs="Times New Roman"/>
          <w:b/>
          <w:sz w:val="18"/>
          <w:szCs w:val="18"/>
        </w:rPr>
        <w:tab/>
      </w:r>
    </w:p>
    <w:p w14:paraId="78087077" w14:textId="5519BB88"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36A34">
        <w:rPr>
          <w:rFonts w:ascii="Times New Roman" w:hAnsi="Times New Roman" w:cs="Times New Roman"/>
          <w:b/>
          <w:sz w:val="18"/>
          <w:szCs w:val="18"/>
        </w:rPr>
        <w:t>28.11</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3075A614"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D36A34" w:rsidRPr="00D36A34">
        <w:rPr>
          <w:rFonts w:ascii="Times New Roman" w:hAnsi="Times New Roman" w:cs="Times New Roman"/>
          <w:b/>
          <w:sz w:val="18"/>
          <w:szCs w:val="18"/>
        </w:rPr>
        <w:t>KLASA: 612-08/22-01/0005)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5B663E0A" w14:textId="00B69EFB" w:rsidR="000D2273" w:rsidRPr="00826E16" w:rsidRDefault="001875F5" w:rsidP="00E24AD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Pr>
          <w:rFonts w:ascii="Times New Roman" w:hAnsi="Times New Roman" w:cs="Times New Roman"/>
          <w:b/>
          <w:sz w:val="18"/>
          <w:szCs w:val="18"/>
        </w:rPr>
        <w:t xml:space="preserve">sedam dana </w:t>
      </w:r>
      <w:r w:rsidR="009B3F45">
        <w:rPr>
          <w:rFonts w:ascii="Times New Roman" w:hAnsi="Times New Roman" w:cs="Times New Roman"/>
          <w:b/>
          <w:sz w:val="18"/>
          <w:szCs w:val="18"/>
        </w:rPr>
        <w:t xml:space="preserve">(obrađena pitanja </w:t>
      </w:r>
      <w:r w:rsidR="00BD0677">
        <w:rPr>
          <w:rFonts w:ascii="Times New Roman" w:hAnsi="Times New Roman" w:cs="Times New Roman"/>
          <w:b/>
          <w:sz w:val="18"/>
          <w:szCs w:val="18"/>
        </w:rPr>
        <w:t xml:space="preserve">primljena </w:t>
      </w:r>
      <w:r w:rsidR="009B3F45">
        <w:rPr>
          <w:rFonts w:ascii="Times New Roman" w:hAnsi="Times New Roman" w:cs="Times New Roman"/>
          <w:b/>
          <w:sz w:val="18"/>
          <w:szCs w:val="18"/>
        </w:rPr>
        <w:t xml:space="preserve">do </w:t>
      </w:r>
      <w:r w:rsidR="00B41740">
        <w:rPr>
          <w:rFonts w:ascii="Times New Roman" w:hAnsi="Times New Roman" w:cs="Times New Roman"/>
          <w:b/>
          <w:sz w:val="18"/>
          <w:szCs w:val="18"/>
        </w:rPr>
        <w:t>2</w:t>
      </w:r>
      <w:r w:rsidR="008813D7">
        <w:rPr>
          <w:rFonts w:ascii="Times New Roman" w:hAnsi="Times New Roman" w:cs="Times New Roman"/>
          <w:b/>
          <w:sz w:val="18"/>
          <w:szCs w:val="18"/>
        </w:rPr>
        <w:t>2</w:t>
      </w:r>
      <w:r w:rsidR="00A8306F">
        <w:rPr>
          <w:rFonts w:ascii="Times New Roman" w:hAnsi="Times New Roman" w:cs="Times New Roman"/>
          <w:b/>
          <w:sz w:val="18"/>
          <w:szCs w:val="18"/>
        </w:rPr>
        <w:t>.09</w:t>
      </w:r>
      <w:r w:rsidR="009B3F45">
        <w:rPr>
          <w:rFonts w:ascii="Times New Roman" w:hAnsi="Times New Roman" w:cs="Times New Roman"/>
          <w:b/>
          <w:sz w:val="18"/>
          <w:szCs w:val="18"/>
        </w:rPr>
        <w:t>.2023.)</w:t>
      </w:r>
    </w:p>
    <w:p w14:paraId="2A20E381" w14:textId="5BDDDC0C" w:rsidR="001B6E45" w:rsidRPr="00826E16" w:rsidRDefault="001B6E45" w:rsidP="001B6E45">
      <w:pPr>
        <w:spacing w:after="0" w:line="240" w:lineRule="auto"/>
        <w:rPr>
          <w:rFonts w:ascii="Times New Roman" w:hAnsi="Times New Roman" w:cs="Times New Roman"/>
          <w:b/>
          <w:bCs/>
          <w:sz w:val="18"/>
          <w:szCs w:val="18"/>
        </w:rPr>
      </w:pP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58D8983D" w:rsidR="00461F02" w:rsidRPr="00EC7F45" w:rsidRDefault="00F81328" w:rsidP="00424267">
            <w:pPr>
              <w:rPr>
                <w:b/>
                <w:lang w:val="hr-HR"/>
              </w:rPr>
            </w:pPr>
            <w:r w:rsidRPr="00F81328">
              <w:rPr>
                <w:b/>
                <w:lang w:val="hr-HR"/>
              </w:rPr>
              <w:t>Druga izmjena Poziva</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6E127E6F" w:rsidR="002A5212" w:rsidRPr="00EC7F45" w:rsidRDefault="002A5212" w:rsidP="00781612">
            <w:pPr>
              <w:jc w:val="right"/>
              <w:rPr>
                <w:b/>
                <w:lang w:val="hr-HR"/>
              </w:rPr>
            </w:pPr>
            <w:r w:rsidRPr="00EC7F45">
              <w:rPr>
                <w:b/>
                <w:lang w:val="hr-HR"/>
              </w:rPr>
              <w:t>OBJAVA S</w:t>
            </w:r>
            <w:r w:rsidR="00F81328">
              <w:rPr>
                <w:b/>
                <w:lang w:val="hr-HR"/>
              </w:rPr>
              <w:t>VIH PITANJA/ODGOVORA IZ VERZIJE</w:t>
            </w:r>
          </w:p>
        </w:tc>
        <w:tc>
          <w:tcPr>
            <w:tcW w:w="6946" w:type="dxa"/>
            <w:shd w:val="clear" w:color="auto" w:fill="C5E0B3" w:themeFill="accent6" w:themeFillTint="66"/>
          </w:tcPr>
          <w:p w14:paraId="4709AC0D" w14:textId="4BB16562"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1421EB" w:rsidRPr="00EC7F45" w14:paraId="0DB6FC75" w14:textId="77777777" w:rsidTr="00C31DF5">
        <w:trPr>
          <w:trHeight w:val="699"/>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55C6AA79" w14:textId="37E807FC" w:rsidR="00CC7DB9" w:rsidRPr="00565C3B" w:rsidRDefault="00B41740" w:rsidP="00CC7DB9">
            <w:pPr>
              <w:jc w:val="both"/>
              <w:rPr>
                <w:sz w:val="22"/>
                <w:szCs w:val="22"/>
                <w:lang w:val="hr-HR"/>
              </w:rPr>
            </w:pPr>
            <w:r w:rsidRPr="00565C3B">
              <w:rPr>
                <w:sz w:val="22"/>
                <w:szCs w:val="22"/>
                <w:lang w:val="hr-HR"/>
              </w:rPr>
              <w:t>1</w:t>
            </w:r>
            <w:r w:rsidR="008813D7">
              <w:rPr>
                <w:sz w:val="22"/>
                <w:szCs w:val="22"/>
                <w:lang w:val="hr-HR"/>
              </w:rPr>
              <w:t>5</w:t>
            </w:r>
            <w:r w:rsidR="00CC7DB9" w:rsidRPr="00565C3B">
              <w:rPr>
                <w:sz w:val="22"/>
                <w:szCs w:val="22"/>
                <w:lang w:val="hr-HR"/>
              </w:rPr>
              <w:t xml:space="preserve">. </w:t>
            </w:r>
            <w:r w:rsidR="00466A23" w:rsidRPr="00565C3B">
              <w:rPr>
                <w:sz w:val="22"/>
                <w:szCs w:val="22"/>
                <w:lang w:val="hr-HR"/>
              </w:rPr>
              <w:t>rujna</w:t>
            </w:r>
            <w:r w:rsidR="00CC7DB9" w:rsidRPr="00565C3B">
              <w:rPr>
                <w:sz w:val="22"/>
                <w:szCs w:val="22"/>
                <w:lang w:val="hr-HR"/>
              </w:rPr>
              <w:t xml:space="preserve"> 2023. </w:t>
            </w:r>
          </w:p>
          <w:p w14:paraId="732064A9" w14:textId="187E95A3" w:rsidR="00B41740" w:rsidRPr="00565C3B" w:rsidRDefault="00565C3B" w:rsidP="00B41740">
            <w:pPr>
              <w:jc w:val="both"/>
              <w:rPr>
                <w:sz w:val="22"/>
                <w:szCs w:val="22"/>
              </w:rPr>
            </w:pPr>
            <w:r w:rsidRPr="00565C3B">
              <w:rPr>
                <w:sz w:val="22"/>
                <w:szCs w:val="22"/>
              </w:rPr>
              <w:lastRenderedPageBreak/>
              <w:t>1. D</w:t>
            </w:r>
            <w:r w:rsidR="00B41740" w:rsidRPr="00565C3B">
              <w:rPr>
                <w:sz w:val="22"/>
                <w:szCs w:val="22"/>
              </w:rPr>
              <w:t>a li je iz Mehanizma za oporavak i otpornosti, a vezano na aktivnost 3 „Izrada projekta cjelovite i energetske obnove – dio dokumentacije koji nije financiran iz sredstava Fonda solidarnosti EU“ prihvatljiv trošak izrade idejnog projekta, kao osnovni preduvjet za izradu glavnog i izvedbenog projekta. Također, da li se troškovi za Dopunu arhitektonskog snimka i troškovi za izradu Konzervatorskog elaborata smatraju prihvatljivi troškovima?</w:t>
            </w:r>
          </w:p>
          <w:p w14:paraId="11BA63B2" w14:textId="3CC297A3" w:rsidR="00466A23" w:rsidRPr="00565C3B" w:rsidRDefault="00B41740" w:rsidP="00B41740">
            <w:pPr>
              <w:jc w:val="both"/>
              <w:rPr>
                <w:sz w:val="22"/>
                <w:szCs w:val="22"/>
                <w:lang w:val="hr-HR"/>
              </w:rPr>
            </w:pPr>
            <w:r w:rsidRPr="00565C3B">
              <w:rPr>
                <w:sz w:val="22"/>
                <w:szCs w:val="22"/>
              </w:rPr>
              <w:t xml:space="preserve">2. Točkom 2.6. Poziva navedeni su „Specifični kriteriji prihvatljivosti operacije u kontekstu cjelovite i energetske obnove“. Molimo da nam odgovorite da li predmet projekta za cjelovitu i energetsku obnovu može biti zgrada u kojoj su iz FSEU-a bili financirani radovi na konstruktivnoj obnovi na 2 krila (od ukupno 4 krila). Naše pitanje glasi, da li se u okviru ovog Poziva može prijaviti cjelovita i energetska obnova cijele zgrade (2 + 2 krila), s obzirom da cijela zgrada čini fizički i funkcionalno spojenu cjelinu u pogledu, tehničkih, funkcionalnih i izvedbenih svojstva? </w:t>
            </w:r>
            <w:r w:rsidR="00466A23" w:rsidRPr="00565C3B">
              <w:rPr>
                <w:sz w:val="22"/>
                <w:szCs w:val="22"/>
                <w:lang w:val="hr-HR"/>
              </w:rPr>
              <w:t>• PDV za troškove provedenih aktivnosti koje su već plaćene iz državnog proračuna“</w:t>
            </w:r>
          </w:p>
          <w:p w14:paraId="6814D14B" w14:textId="07DF9F4E" w:rsidR="001421EB" w:rsidRPr="00565C3B" w:rsidRDefault="00964E70" w:rsidP="00466A23">
            <w:pPr>
              <w:jc w:val="both"/>
              <w:rPr>
                <w:sz w:val="22"/>
                <w:szCs w:val="22"/>
                <w:lang w:val="hr-HR"/>
              </w:rPr>
            </w:pPr>
            <w:r>
              <w:rPr>
                <w:sz w:val="22"/>
                <w:szCs w:val="22"/>
                <w:lang w:val="hr-HR"/>
              </w:rPr>
              <w:t xml:space="preserve">3. </w:t>
            </w:r>
            <w:r w:rsidR="00466A23" w:rsidRPr="00565C3B">
              <w:rPr>
                <w:sz w:val="22"/>
                <w:szCs w:val="22"/>
                <w:lang w:val="hr-HR"/>
              </w:rPr>
              <w:t>Nastavno na navedeno molimo Vas pojašnjenje da li se ta refundacija troškova može odnositi na troškove koji su nastali u razdoblju od 1.7.2023. do 31.12.2023, a za koje je potpisan Dodatak Ugovoru za konstruktivnu obnovu do 31.12.2023. u kojem je navedeno da će se svi nastali troškovi financirati iz drugih izvora. Da li je ovim pozivom predviđeno da se ti troškovi, odnosno razlika neutrošenog iznosa iz FSEU (do 30.6.2023.) mogu financirati iz ovog Poziva, odnosno da se u projektnu prijavu mogu uključiti i troškovi koji se odnose na konstruktivnu obnovu, a koji su nastali i plaćeni su nakon 30.6.2023.</w:t>
            </w:r>
          </w:p>
        </w:tc>
        <w:tc>
          <w:tcPr>
            <w:tcW w:w="6946" w:type="dxa"/>
          </w:tcPr>
          <w:p w14:paraId="0C8E1758" w14:textId="77777777" w:rsidR="00F31C98" w:rsidRDefault="00F31C98" w:rsidP="005C3FD0">
            <w:pPr>
              <w:jc w:val="both"/>
              <w:rPr>
                <w:sz w:val="22"/>
                <w:szCs w:val="22"/>
                <w:lang w:val="hr-HR"/>
              </w:rPr>
            </w:pPr>
          </w:p>
          <w:p w14:paraId="3A0E64BE" w14:textId="4F9E7A63" w:rsidR="00565C3B" w:rsidRDefault="00565C3B" w:rsidP="00B201C4">
            <w:pPr>
              <w:jc w:val="both"/>
              <w:rPr>
                <w:sz w:val="22"/>
                <w:szCs w:val="22"/>
                <w:lang w:val="hr-HR"/>
              </w:rPr>
            </w:pPr>
            <w:r>
              <w:rPr>
                <w:sz w:val="22"/>
                <w:szCs w:val="22"/>
                <w:lang w:val="hr-HR"/>
              </w:rPr>
              <w:lastRenderedPageBreak/>
              <w:t>1. I</w:t>
            </w:r>
            <w:r w:rsidRPr="00565C3B">
              <w:rPr>
                <w:sz w:val="22"/>
                <w:szCs w:val="22"/>
                <w:lang w:val="hr-HR"/>
              </w:rPr>
              <w:t>dejn</w:t>
            </w:r>
            <w:r>
              <w:rPr>
                <w:sz w:val="22"/>
                <w:szCs w:val="22"/>
                <w:lang w:val="hr-HR"/>
              </w:rPr>
              <w:t>i</w:t>
            </w:r>
            <w:r w:rsidRPr="00565C3B">
              <w:rPr>
                <w:sz w:val="22"/>
                <w:szCs w:val="22"/>
                <w:lang w:val="hr-HR"/>
              </w:rPr>
              <w:t xml:space="preserve"> projekt </w:t>
            </w:r>
            <w:r>
              <w:rPr>
                <w:sz w:val="22"/>
                <w:szCs w:val="22"/>
                <w:lang w:val="hr-HR"/>
              </w:rPr>
              <w:t>za cjelovitu i energetsku obnovu zgrade u okviru izrade projektne dokumentacije za cjelovitu i energetsku obnovu prihvatljiv trošak ukoliko nije ugovoren i nadoknađen iz Fonda solidarnosti EU</w:t>
            </w:r>
            <w:r w:rsidRPr="00565C3B">
              <w:rPr>
                <w:sz w:val="22"/>
                <w:szCs w:val="22"/>
                <w:lang w:val="hr-HR"/>
              </w:rPr>
              <w:t xml:space="preserve">. </w:t>
            </w:r>
            <w:r w:rsidR="0034370B">
              <w:rPr>
                <w:sz w:val="22"/>
                <w:szCs w:val="22"/>
                <w:lang w:val="hr-HR"/>
              </w:rPr>
              <w:t>Isto se odnosi i na ostale aktivnosti vezane za izradu projektne dokumentacije za cjelovitu i energetsku obnovu, ukoliko nisu financirane iz FSEU prihvatljiv su trošak iz MOO, dopuna arhitektonske snimke je prihvatljiv trošak ukoliko izrada arhitektonske snimke nije već financirana iz FSEU.</w:t>
            </w:r>
          </w:p>
          <w:p w14:paraId="64BCAB48" w14:textId="77777777" w:rsidR="00621230" w:rsidRDefault="00621230" w:rsidP="00B201C4">
            <w:pPr>
              <w:jc w:val="both"/>
              <w:rPr>
                <w:sz w:val="22"/>
                <w:szCs w:val="22"/>
                <w:lang w:val="hr-HR"/>
              </w:rPr>
            </w:pPr>
          </w:p>
          <w:p w14:paraId="66F25942" w14:textId="3FAC0D30" w:rsidR="00B201C4" w:rsidRDefault="0034370B" w:rsidP="00B201C4">
            <w:pPr>
              <w:jc w:val="both"/>
              <w:rPr>
                <w:sz w:val="22"/>
                <w:szCs w:val="22"/>
                <w:lang w:val="hr-HR"/>
              </w:rPr>
            </w:pPr>
            <w:r>
              <w:rPr>
                <w:sz w:val="22"/>
                <w:szCs w:val="22"/>
                <w:lang w:val="hr-HR"/>
              </w:rPr>
              <w:t>2. Zgrada koja čini konstrukcijsku i funkcionalnu cjelinu prihvatljiva je za cjelovitu i energetsku obnovu bez obzira na opseg zahvata na obnovi konstrukcije</w:t>
            </w:r>
            <w:r w:rsidR="00964E70">
              <w:rPr>
                <w:sz w:val="22"/>
                <w:szCs w:val="22"/>
                <w:lang w:val="hr-HR"/>
              </w:rPr>
              <w:t xml:space="preserve"> koji je financiran iz FSEU.</w:t>
            </w:r>
            <w:r>
              <w:rPr>
                <w:sz w:val="22"/>
                <w:szCs w:val="22"/>
                <w:lang w:val="hr-HR"/>
              </w:rPr>
              <w:t xml:space="preserve"> </w:t>
            </w:r>
          </w:p>
          <w:p w14:paraId="15A38EA9" w14:textId="24B5CEFA" w:rsidR="0034370B" w:rsidRDefault="00964E70" w:rsidP="00B201C4">
            <w:pPr>
              <w:jc w:val="both"/>
              <w:rPr>
                <w:sz w:val="22"/>
                <w:szCs w:val="22"/>
                <w:lang w:val="hr-HR"/>
              </w:rPr>
            </w:pPr>
            <w:r>
              <w:rPr>
                <w:sz w:val="22"/>
                <w:szCs w:val="22"/>
                <w:lang w:val="hr-HR"/>
              </w:rPr>
              <w:t xml:space="preserve">3. </w:t>
            </w:r>
            <w:r w:rsidRPr="00964E70">
              <w:rPr>
                <w:sz w:val="22"/>
                <w:szCs w:val="22"/>
                <w:lang w:val="hr-HR"/>
              </w:rPr>
              <w:t>Svi radovi predviđeni projektom obnove konstrukcije koji obuhvaćaju popravak nekonstrukcijskih elemenata, popravak konstrukcije, pojačanje konstrukcije zgrade i cjelovitu obnovu konstrukcije kod kojih je u tijeku provođenje ugovora o izvođenju radova i koji nisu završeni tijekom trajanja razdoblja financiranja Fonda solidarnosti, a odnose se na mehaničku otpornost i stabilnost konstrukcije, Odlukom Vlade Republike Hrvatske o nastavku financiranja projekata započetih iz Fonda solidarnosti Europske unije iz sredstava državnog proračuna Republike Hrvatske, objavljenom 28. lipnja 2023. godine, biti će financirani iz nacionalnih sredstava (do 31. prosinca 2023. godine)</w:t>
            </w:r>
            <w:r>
              <w:rPr>
                <w:sz w:val="22"/>
                <w:szCs w:val="22"/>
                <w:lang w:val="hr-HR"/>
              </w:rPr>
              <w:t>. Dakle, ne financiraju se iz Mehanizma za oporavak i otpornost.</w:t>
            </w:r>
          </w:p>
          <w:p w14:paraId="01AE1061" w14:textId="71E412D1" w:rsidR="001615FA" w:rsidRPr="00EC7F45" w:rsidRDefault="001615FA" w:rsidP="00964E70">
            <w:pPr>
              <w:jc w:val="both"/>
              <w:rPr>
                <w:sz w:val="22"/>
                <w:szCs w:val="22"/>
                <w:lang w:val="hr-HR"/>
              </w:rPr>
            </w:pPr>
          </w:p>
        </w:tc>
      </w:tr>
      <w:tr w:rsidR="003401B2" w:rsidRPr="00EC7F45" w14:paraId="4BBCCD24" w14:textId="77777777" w:rsidTr="00C31DF5">
        <w:trPr>
          <w:trHeight w:val="699"/>
        </w:trPr>
        <w:tc>
          <w:tcPr>
            <w:tcW w:w="567" w:type="dxa"/>
            <w:vAlign w:val="center"/>
          </w:tcPr>
          <w:p w14:paraId="6E058F19" w14:textId="77777777" w:rsidR="003401B2" w:rsidRPr="00EC7F45" w:rsidRDefault="003401B2" w:rsidP="00911198">
            <w:pPr>
              <w:pStyle w:val="ListParagraph"/>
              <w:numPr>
                <w:ilvl w:val="0"/>
                <w:numId w:val="4"/>
              </w:numPr>
              <w:tabs>
                <w:tab w:val="left" w:pos="176"/>
              </w:tabs>
              <w:ind w:hanging="549"/>
              <w:jc w:val="right"/>
              <w:rPr>
                <w:b/>
              </w:rPr>
            </w:pPr>
          </w:p>
        </w:tc>
        <w:tc>
          <w:tcPr>
            <w:tcW w:w="6095" w:type="dxa"/>
          </w:tcPr>
          <w:p w14:paraId="1E1BE0C3" w14:textId="752CCCB8" w:rsidR="00217247" w:rsidRDefault="00217247" w:rsidP="003401B2">
            <w:pPr>
              <w:rPr>
                <w:sz w:val="22"/>
                <w:szCs w:val="22"/>
              </w:rPr>
            </w:pPr>
            <w:r>
              <w:rPr>
                <w:sz w:val="22"/>
                <w:szCs w:val="22"/>
              </w:rPr>
              <w:t>19. rujna 2023.</w:t>
            </w:r>
          </w:p>
          <w:p w14:paraId="32153BF9" w14:textId="2900C896" w:rsidR="003401B2" w:rsidRPr="00B31138" w:rsidRDefault="003401B2" w:rsidP="003401B2">
            <w:pPr>
              <w:rPr>
                <w:sz w:val="22"/>
                <w:szCs w:val="22"/>
              </w:rPr>
            </w:pPr>
            <w:r w:rsidRPr="00B31138">
              <w:rPr>
                <w:sz w:val="22"/>
                <w:szCs w:val="22"/>
              </w:rPr>
              <w:t>Molimo da se u ANEKSU 1. POPIS TEHNIČKIH UVJETA, Poziva na dodjelu bespovratnih financijskih sredstava</w:t>
            </w:r>
          </w:p>
          <w:p w14:paraId="73AA8A9B" w14:textId="77777777" w:rsidR="003401B2" w:rsidRPr="00B31138" w:rsidRDefault="003401B2" w:rsidP="003401B2">
            <w:pPr>
              <w:rPr>
                <w:sz w:val="22"/>
                <w:szCs w:val="22"/>
              </w:rPr>
            </w:pPr>
            <w:r w:rsidRPr="00B31138">
              <w:rPr>
                <w:sz w:val="22"/>
                <w:szCs w:val="22"/>
              </w:rPr>
              <w:t>Provedba mjera zaštite kulturne baštine oštećene u potresu 22. ožujka 2020. godine na području Grada Zagreba, Krapinsko-zagorske i Zagrebačke županije, 023-03/21-01/0015, od 6.rujna.2013. godine izmjeni dio tehničkih uvjeta koji se odnose na Minimalne zahtjevi za iznos sezonske energetske učinkovitosti dizalice topline za grijanje prostora.</w:t>
            </w:r>
          </w:p>
          <w:p w14:paraId="709463A0" w14:textId="77777777" w:rsidR="003401B2" w:rsidRPr="00B31138" w:rsidRDefault="003401B2" w:rsidP="003401B2">
            <w:pPr>
              <w:rPr>
                <w:sz w:val="22"/>
                <w:szCs w:val="22"/>
              </w:rPr>
            </w:pPr>
          </w:p>
          <w:p w14:paraId="07BEF321" w14:textId="77777777" w:rsidR="003401B2" w:rsidRPr="00B31138" w:rsidRDefault="003401B2" w:rsidP="003401B2">
            <w:pPr>
              <w:rPr>
                <w:b/>
                <w:bCs/>
                <w:sz w:val="22"/>
                <w:szCs w:val="22"/>
                <w:u w:val="single"/>
              </w:rPr>
            </w:pPr>
            <w:r w:rsidRPr="00B31138">
              <w:rPr>
                <w:b/>
                <w:bCs/>
                <w:sz w:val="22"/>
                <w:szCs w:val="22"/>
                <w:u w:val="single"/>
              </w:rPr>
              <w:t>Tablica 1: Trenutni tehnički uvjeti</w:t>
            </w:r>
          </w:p>
          <w:p w14:paraId="4381F229" w14:textId="6DDB52EF" w:rsidR="003401B2" w:rsidRPr="00B31138" w:rsidRDefault="003401B2" w:rsidP="003401B2">
            <w:pPr>
              <w:rPr>
                <w:sz w:val="22"/>
                <w:szCs w:val="22"/>
              </w:rPr>
            </w:pPr>
            <w:r w:rsidRPr="00B31138">
              <w:rPr>
                <w:noProof/>
                <w:lang w:eastAsia="hr-HR"/>
              </w:rPr>
              <w:drawing>
                <wp:inline distT="0" distB="0" distL="0" distR="0" wp14:anchorId="7332996A" wp14:editId="12964F6F">
                  <wp:extent cx="3733165" cy="1985645"/>
                  <wp:effectExtent l="0" t="0" r="635" b="14605"/>
                  <wp:docPr id="139897127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733165" cy="1985645"/>
                          </a:xfrm>
                          <a:prstGeom prst="rect">
                            <a:avLst/>
                          </a:prstGeom>
                          <a:noFill/>
                          <a:ln>
                            <a:noFill/>
                          </a:ln>
                        </pic:spPr>
                      </pic:pic>
                    </a:graphicData>
                  </a:graphic>
                </wp:inline>
              </w:drawing>
            </w:r>
          </w:p>
          <w:p w14:paraId="6B33D912" w14:textId="77777777" w:rsidR="003401B2" w:rsidRPr="00B31138" w:rsidRDefault="003401B2" w:rsidP="003401B2">
            <w:pPr>
              <w:rPr>
                <w:b/>
                <w:bCs/>
                <w:sz w:val="22"/>
                <w:szCs w:val="22"/>
                <w:u w:val="single"/>
              </w:rPr>
            </w:pPr>
          </w:p>
          <w:p w14:paraId="3F1B8100" w14:textId="77777777" w:rsidR="003401B2" w:rsidRPr="00B31138" w:rsidRDefault="003401B2" w:rsidP="003401B2">
            <w:pPr>
              <w:rPr>
                <w:b/>
                <w:bCs/>
                <w:sz w:val="22"/>
                <w:szCs w:val="22"/>
                <w:u w:val="single"/>
              </w:rPr>
            </w:pPr>
            <w:r w:rsidRPr="00B31138">
              <w:rPr>
                <w:b/>
                <w:bCs/>
                <w:sz w:val="22"/>
                <w:szCs w:val="22"/>
                <w:u w:val="single"/>
              </w:rPr>
              <w:t>Tablica 2 : Prijedlog izmjene tehničkih uvjeta (</w:t>
            </w:r>
            <w:r w:rsidRPr="00B31138">
              <w:rPr>
                <w:b/>
                <w:bCs/>
                <w:sz w:val="22"/>
                <w:szCs w:val="22"/>
                <w:highlight w:val="yellow"/>
                <w:u w:val="single"/>
              </w:rPr>
              <w:t>izmjene označene žutim</w:t>
            </w:r>
            <w:r w:rsidRPr="00B31138">
              <w:rPr>
                <w:b/>
                <w:bCs/>
                <w:sz w:val="22"/>
                <w:szCs w:val="22"/>
                <w:u w:val="single"/>
              </w:rPr>
              <w:t>):</w:t>
            </w:r>
          </w:p>
          <w:p w14:paraId="1D30A169" w14:textId="1BFE422A" w:rsidR="003401B2" w:rsidRPr="00B31138" w:rsidRDefault="003401B2" w:rsidP="003401B2">
            <w:pPr>
              <w:rPr>
                <w:sz w:val="22"/>
                <w:szCs w:val="22"/>
              </w:rPr>
            </w:pPr>
            <w:r w:rsidRPr="00B31138">
              <w:rPr>
                <w:noProof/>
                <w:lang w:eastAsia="hr-HR"/>
              </w:rPr>
              <w:drawing>
                <wp:inline distT="0" distB="0" distL="0" distR="0" wp14:anchorId="77347263" wp14:editId="12098740">
                  <wp:extent cx="3733165" cy="2010410"/>
                  <wp:effectExtent l="0" t="0" r="635" b="8890"/>
                  <wp:docPr id="198861500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733165" cy="2010410"/>
                          </a:xfrm>
                          <a:prstGeom prst="rect">
                            <a:avLst/>
                          </a:prstGeom>
                          <a:noFill/>
                          <a:ln>
                            <a:noFill/>
                          </a:ln>
                        </pic:spPr>
                      </pic:pic>
                    </a:graphicData>
                  </a:graphic>
                </wp:inline>
              </w:drawing>
            </w:r>
          </w:p>
          <w:p w14:paraId="6DAD0CC3" w14:textId="77777777" w:rsidR="003401B2" w:rsidRPr="00B31138" w:rsidRDefault="003401B2" w:rsidP="003401B2">
            <w:pPr>
              <w:rPr>
                <w:sz w:val="22"/>
                <w:szCs w:val="22"/>
              </w:rPr>
            </w:pPr>
          </w:p>
          <w:p w14:paraId="22CF89F4" w14:textId="77777777" w:rsidR="003401B2" w:rsidRPr="00B31138" w:rsidRDefault="003401B2" w:rsidP="003401B2">
            <w:pPr>
              <w:rPr>
                <w:b/>
                <w:bCs/>
                <w:sz w:val="22"/>
                <w:szCs w:val="22"/>
                <w:u w:val="single"/>
              </w:rPr>
            </w:pPr>
            <w:r w:rsidRPr="00B31138">
              <w:rPr>
                <w:b/>
                <w:bCs/>
                <w:sz w:val="22"/>
                <w:szCs w:val="22"/>
                <w:u w:val="single"/>
              </w:rPr>
              <w:t>Obrazloženje:</w:t>
            </w:r>
          </w:p>
          <w:p w14:paraId="0EEC2BE3" w14:textId="77777777" w:rsidR="003401B2" w:rsidRPr="00B31138" w:rsidRDefault="003401B2" w:rsidP="003401B2">
            <w:pPr>
              <w:rPr>
                <w:color w:val="212121"/>
                <w:sz w:val="22"/>
                <w:szCs w:val="22"/>
              </w:rPr>
            </w:pPr>
            <w:r w:rsidRPr="00B31138">
              <w:rPr>
                <w:sz w:val="22"/>
                <w:szCs w:val="22"/>
              </w:rPr>
              <w:t xml:space="preserve">Trenutno navedeni parametri (Tablica 1) minimalnih tehničkih uvjeta za dizalice topline za grijanje prostora u prosječnoj/im klimi/klimatskim uvjetima  </w:t>
            </w:r>
            <w:r w:rsidRPr="00B31138">
              <w:rPr>
                <w:color w:val="212121"/>
                <w:sz w:val="22"/>
                <w:szCs w:val="22"/>
              </w:rPr>
              <w:t>standardne su vrijednosti za projekte i sustave tzv “kućne uporabe“</w:t>
            </w:r>
            <w:r w:rsidRPr="00B31138">
              <w:rPr>
                <w:rStyle w:val="apple-converted-space"/>
                <w:color w:val="212121"/>
                <w:sz w:val="22"/>
                <w:szCs w:val="22"/>
              </w:rPr>
              <w:t> </w:t>
            </w:r>
            <w:r w:rsidRPr="00B31138">
              <w:rPr>
                <w:sz w:val="22"/>
                <w:szCs w:val="22"/>
              </w:rPr>
              <w:t xml:space="preserve">manjih dizalica topline do cca. 16 kW odnosno do </w:t>
            </w:r>
            <w:r w:rsidRPr="00B31138">
              <w:rPr>
                <w:sz w:val="22"/>
                <w:szCs w:val="22"/>
              </w:rPr>
              <w:lastRenderedPageBreak/>
              <w:t>max. 25 kW</w:t>
            </w:r>
            <w:r w:rsidRPr="00B31138">
              <w:rPr>
                <w:rStyle w:val="apple-converted-space"/>
                <w:sz w:val="22"/>
                <w:szCs w:val="22"/>
              </w:rPr>
              <w:t> </w:t>
            </w:r>
            <w:r w:rsidRPr="00B31138">
              <w:rPr>
                <w:sz w:val="22"/>
                <w:szCs w:val="22"/>
              </w:rPr>
              <w:t>. Najveći  dio projekta koji će se prijavljivati na ovaj poziv korist</w:t>
            </w:r>
            <w:r w:rsidRPr="00B31138">
              <w:rPr>
                <w:color w:val="212121"/>
                <w:sz w:val="22"/>
                <w:szCs w:val="22"/>
              </w:rPr>
              <w:t xml:space="preserve">it će  „komercijalne sustave srednje i velike veličine“ kada su traženi parametri neostvarivi ukoliko se želi osigurati slobodno tržišno natjecanje, ekonomski opravdana, racionalna i tehnički kvalitetna rješenja sustava grijanja, hlađenja i klimatizacije. </w:t>
            </w:r>
          </w:p>
          <w:p w14:paraId="155C5991" w14:textId="77777777" w:rsidR="003401B2" w:rsidRPr="00B31138" w:rsidRDefault="003401B2" w:rsidP="003401B2">
            <w:pPr>
              <w:rPr>
                <w:sz w:val="22"/>
                <w:szCs w:val="22"/>
              </w:rPr>
            </w:pPr>
            <w:r w:rsidRPr="00B31138">
              <w:rPr>
                <w:sz w:val="22"/>
                <w:szCs w:val="22"/>
              </w:rPr>
              <w:t xml:space="preserve">Molimo da se sukladno stručnom mišljenju Fakulteta strojarstva i brodogradnje iz Zagreba, koje je u prilogu ovog maila,  na ovaj poziv primjene vrijednosti prikazane u Tablici 2. Navedene vrijednosti u Tablici 2. su izražene su prema EN 14825, a sukladne su </w:t>
            </w:r>
            <w:r w:rsidRPr="00B31138">
              <w:rPr>
                <w:sz w:val="22"/>
                <w:szCs w:val="22"/>
                <w:u w:val="single"/>
              </w:rPr>
              <w:t>Uredbi Komisije (EU) 813/2013</w:t>
            </w:r>
            <w:r w:rsidRPr="00B31138">
              <w:rPr>
                <w:sz w:val="22"/>
                <w:szCs w:val="22"/>
              </w:rPr>
              <w:t xml:space="preserve">, te su u skladu s ciljevima i indikatorima poziva. </w:t>
            </w:r>
          </w:p>
          <w:p w14:paraId="12E4C8B3" w14:textId="77777777" w:rsidR="003401B2" w:rsidRPr="00B31138" w:rsidRDefault="003401B2" w:rsidP="003401B2">
            <w:pPr>
              <w:rPr>
                <w:sz w:val="22"/>
                <w:szCs w:val="22"/>
              </w:rPr>
            </w:pPr>
          </w:p>
          <w:p w14:paraId="664F998E" w14:textId="77777777" w:rsidR="003401B2" w:rsidRPr="00B31138" w:rsidRDefault="003401B2" w:rsidP="003401B2">
            <w:pPr>
              <w:jc w:val="both"/>
              <w:rPr>
                <w:sz w:val="22"/>
                <w:szCs w:val="22"/>
              </w:rPr>
            </w:pPr>
          </w:p>
        </w:tc>
        <w:tc>
          <w:tcPr>
            <w:tcW w:w="6946" w:type="dxa"/>
          </w:tcPr>
          <w:p w14:paraId="165A8CDD" w14:textId="77777777" w:rsidR="003401B2" w:rsidRDefault="003401B2" w:rsidP="005C3FD0">
            <w:pPr>
              <w:jc w:val="both"/>
              <w:rPr>
                <w:sz w:val="22"/>
                <w:szCs w:val="22"/>
              </w:rPr>
            </w:pPr>
          </w:p>
          <w:p w14:paraId="16C2D6F2" w14:textId="26B6AD7D" w:rsidR="00217247" w:rsidRPr="00217247" w:rsidRDefault="008813D7" w:rsidP="005C3FD0">
            <w:pPr>
              <w:jc w:val="both"/>
              <w:rPr>
                <w:sz w:val="22"/>
                <w:szCs w:val="22"/>
              </w:rPr>
            </w:pPr>
            <w:r>
              <w:rPr>
                <w:sz w:val="22"/>
                <w:szCs w:val="22"/>
              </w:rPr>
              <w:t>Pitanje je p</w:t>
            </w:r>
            <w:r w:rsidR="00217247">
              <w:rPr>
                <w:sz w:val="22"/>
                <w:szCs w:val="22"/>
              </w:rPr>
              <w:t>roslijeđeno Nacionalnom koordinacijskom tijelu</w:t>
            </w:r>
            <w:r w:rsidR="004B6BA6">
              <w:rPr>
                <w:sz w:val="22"/>
                <w:szCs w:val="22"/>
              </w:rPr>
              <w:t xml:space="preserve"> radi utvrđivanja procedure izmjene Popisa tehničkih uvjeta. </w:t>
            </w:r>
          </w:p>
        </w:tc>
      </w:tr>
    </w:tbl>
    <w:p w14:paraId="2A2C25FD" w14:textId="77777777" w:rsidR="00AB45DB" w:rsidRDefault="00AB45DB" w:rsidP="00B71FD2">
      <w:pPr>
        <w:spacing w:after="0" w:line="240" w:lineRule="auto"/>
        <w:jc w:val="both"/>
        <w:rPr>
          <w:rFonts w:ascii="Times New Roman" w:hAnsi="Times New Roman" w:cs="Times New Roman"/>
          <w:sz w:val="24"/>
          <w:szCs w:val="24"/>
        </w:rPr>
      </w:pPr>
    </w:p>
    <w:sectPr w:rsidR="00AB45DB" w:rsidSect="00AB45DB">
      <w:footerReference w:type="default" r:id="rId16"/>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3C0D4" w14:textId="77777777" w:rsidR="00036035" w:rsidRDefault="00036035" w:rsidP="00FC265C">
      <w:pPr>
        <w:spacing w:after="0" w:line="240" w:lineRule="auto"/>
      </w:pPr>
      <w:r>
        <w:separator/>
      </w:r>
    </w:p>
  </w:endnote>
  <w:endnote w:type="continuationSeparator" w:id="0">
    <w:p w14:paraId="21A6F2AC" w14:textId="77777777" w:rsidR="00036035" w:rsidRDefault="00036035"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0314" w14:textId="77777777" w:rsidR="00036035" w:rsidRDefault="00036035" w:rsidP="00FC265C">
      <w:pPr>
        <w:spacing w:after="0" w:line="240" w:lineRule="auto"/>
      </w:pPr>
      <w:r>
        <w:separator/>
      </w:r>
    </w:p>
  </w:footnote>
  <w:footnote w:type="continuationSeparator" w:id="0">
    <w:p w14:paraId="54CFCE33" w14:textId="77777777" w:rsidR="00036035" w:rsidRDefault="00036035"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0"/>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0226"/>
    <w:rsid w:val="00002449"/>
    <w:rsid w:val="00002B38"/>
    <w:rsid w:val="00002E6E"/>
    <w:rsid w:val="0000781F"/>
    <w:rsid w:val="00007911"/>
    <w:rsid w:val="00011542"/>
    <w:rsid w:val="00025010"/>
    <w:rsid w:val="00025179"/>
    <w:rsid w:val="00035177"/>
    <w:rsid w:val="00036035"/>
    <w:rsid w:val="00041DB1"/>
    <w:rsid w:val="00062F7B"/>
    <w:rsid w:val="00070B3D"/>
    <w:rsid w:val="000717B8"/>
    <w:rsid w:val="00075396"/>
    <w:rsid w:val="00087974"/>
    <w:rsid w:val="000B23C3"/>
    <w:rsid w:val="000C22AB"/>
    <w:rsid w:val="000C5E2D"/>
    <w:rsid w:val="000D2273"/>
    <w:rsid w:val="000D2ECF"/>
    <w:rsid w:val="000D72E4"/>
    <w:rsid w:val="000E0026"/>
    <w:rsid w:val="000E048D"/>
    <w:rsid w:val="000E3753"/>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15FA"/>
    <w:rsid w:val="00162062"/>
    <w:rsid w:val="00166B5A"/>
    <w:rsid w:val="0017031A"/>
    <w:rsid w:val="00185383"/>
    <w:rsid w:val="001875F5"/>
    <w:rsid w:val="0019596C"/>
    <w:rsid w:val="001974B9"/>
    <w:rsid w:val="001A0094"/>
    <w:rsid w:val="001A1563"/>
    <w:rsid w:val="001A17C6"/>
    <w:rsid w:val="001A2939"/>
    <w:rsid w:val="001A3DC4"/>
    <w:rsid w:val="001B23B8"/>
    <w:rsid w:val="001B6C35"/>
    <w:rsid w:val="001B6E45"/>
    <w:rsid w:val="001B7D2D"/>
    <w:rsid w:val="001D5C15"/>
    <w:rsid w:val="001D72E3"/>
    <w:rsid w:val="001E2BCC"/>
    <w:rsid w:val="001E32CC"/>
    <w:rsid w:val="001F0C08"/>
    <w:rsid w:val="001F23F6"/>
    <w:rsid w:val="0020544A"/>
    <w:rsid w:val="002123B8"/>
    <w:rsid w:val="0021460E"/>
    <w:rsid w:val="00217247"/>
    <w:rsid w:val="002200CD"/>
    <w:rsid w:val="00220385"/>
    <w:rsid w:val="0022540C"/>
    <w:rsid w:val="00241C38"/>
    <w:rsid w:val="002477B4"/>
    <w:rsid w:val="00254A61"/>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2F1407"/>
    <w:rsid w:val="0030140B"/>
    <w:rsid w:val="00301806"/>
    <w:rsid w:val="0031107B"/>
    <w:rsid w:val="00313FE4"/>
    <w:rsid w:val="00324620"/>
    <w:rsid w:val="0033705B"/>
    <w:rsid w:val="00337463"/>
    <w:rsid w:val="003401B2"/>
    <w:rsid w:val="0034370B"/>
    <w:rsid w:val="00344DE8"/>
    <w:rsid w:val="00345819"/>
    <w:rsid w:val="003512C9"/>
    <w:rsid w:val="00354EFC"/>
    <w:rsid w:val="00366959"/>
    <w:rsid w:val="0037749C"/>
    <w:rsid w:val="00377D87"/>
    <w:rsid w:val="00384BE7"/>
    <w:rsid w:val="00386638"/>
    <w:rsid w:val="003875E6"/>
    <w:rsid w:val="00393243"/>
    <w:rsid w:val="00393E2C"/>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3F04"/>
    <w:rsid w:val="00465397"/>
    <w:rsid w:val="00466A23"/>
    <w:rsid w:val="0046775D"/>
    <w:rsid w:val="004716CB"/>
    <w:rsid w:val="00473BB8"/>
    <w:rsid w:val="00474F31"/>
    <w:rsid w:val="00483932"/>
    <w:rsid w:val="004912B2"/>
    <w:rsid w:val="004961FF"/>
    <w:rsid w:val="004A1CC9"/>
    <w:rsid w:val="004A615D"/>
    <w:rsid w:val="004B0A8E"/>
    <w:rsid w:val="004B2E15"/>
    <w:rsid w:val="004B4117"/>
    <w:rsid w:val="004B6BA6"/>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2593D"/>
    <w:rsid w:val="00541569"/>
    <w:rsid w:val="00544D17"/>
    <w:rsid w:val="0054576C"/>
    <w:rsid w:val="00561A1C"/>
    <w:rsid w:val="00563E70"/>
    <w:rsid w:val="00565C3B"/>
    <w:rsid w:val="00565EEF"/>
    <w:rsid w:val="00571959"/>
    <w:rsid w:val="00574788"/>
    <w:rsid w:val="005813DD"/>
    <w:rsid w:val="005824F7"/>
    <w:rsid w:val="005849F9"/>
    <w:rsid w:val="00584E2A"/>
    <w:rsid w:val="00585334"/>
    <w:rsid w:val="00592ADF"/>
    <w:rsid w:val="00593C7C"/>
    <w:rsid w:val="005A47E8"/>
    <w:rsid w:val="005A668A"/>
    <w:rsid w:val="005A6ADE"/>
    <w:rsid w:val="005B5F9B"/>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21230"/>
    <w:rsid w:val="00632AE9"/>
    <w:rsid w:val="00634D45"/>
    <w:rsid w:val="006532BB"/>
    <w:rsid w:val="00654E3C"/>
    <w:rsid w:val="00660AFA"/>
    <w:rsid w:val="00661BF5"/>
    <w:rsid w:val="00662D19"/>
    <w:rsid w:val="0066530D"/>
    <w:rsid w:val="0068593C"/>
    <w:rsid w:val="00686582"/>
    <w:rsid w:val="00687B38"/>
    <w:rsid w:val="00690177"/>
    <w:rsid w:val="00690241"/>
    <w:rsid w:val="00691E64"/>
    <w:rsid w:val="00694412"/>
    <w:rsid w:val="0069614B"/>
    <w:rsid w:val="006A146B"/>
    <w:rsid w:val="006A3966"/>
    <w:rsid w:val="006B43EC"/>
    <w:rsid w:val="006B6568"/>
    <w:rsid w:val="006C16EA"/>
    <w:rsid w:val="006C2D2A"/>
    <w:rsid w:val="006C414B"/>
    <w:rsid w:val="006C7AE0"/>
    <w:rsid w:val="006D2170"/>
    <w:rsid w:val="006D30C7"/>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B5BC0"/>
    <w:rsid w:val="007C563B"/>
    <w:rsid w:val="007E0476"/>
    <w:rsid w:val="007E716A"/>
    <w:rsid w:val="00800EBC"/>
    <w:rsid w:val="0080768F"/>
    <w:rsid w:val="0081394B"/>
    <w:rsid w:val="0081410F"/>
    <w:rsid w:val="008143AD"/>
    <w:rsid w:val="00826E16"/>
    <w:rsid w:val="00833B0C"/>
    <w:rsid w:val="0083774A"/>
    <w:rsid w:val="008401B2"/>
    <w:rsid w:val="008467B9"/>
    <w:rsid w:val="008553D0"/>
    <w:rsid w:val="00862E3A"/>
    <w:rsid w:val="00863739"/>
    <w:rsid w:val="0086695C"/>
    <w:rsid w:val="0087033A"/>
    <w:rsid w:val="00872A74"/>
    <w:rsid w:val="008755B5"/>
    <w:rsid w:val="008773F6"/>
    <w:rsid w:val="008813D7"/>
    <w:rsid w:val="008839AA"/>
    <w:rsid w:val="00886C6D"/>
    <w:rsid w:val="00887D3D"/>
    <w:rsid w:val="00893A7E"/>
    <w:rsid w:val="008960A7"/>
    <w:rsid w:val="0089766F"/>
    <w:rsid w:val="008979A4"/>
    <w:rsid w:val="008A6034"/>
    <w:rsid w:val="008A6D63"/>
    <w:rsid w:val="008B696A"/>
    <w:rsid w:val="008C2A42"/>
    <w:rsid w:val="008D053B"/>
    <w:rsid w:val="008D35AB"/>
    <w:rsid w:val="008D5073"/>
    <w:rsid w:val="008E518D"/>
    <w:rsid w:val="008E71E4"/>
    <w:rsid w:val="008F1C41"/>
    <w:rsid w:val="0090012B"/>
    <w:rsid w:val="00903622"/>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64E70"/>
    <w:rsid w:val="00971E56"/>
    <w:rsid w:val="0098396A"/>
    <w:rsid w:val="00984845"/>
    <w:rsid w:val="00996300"/>
    <w:rsid w:val="00996FE8"/>
    <w:rsid w:val="009A0A4C"/>
    <w:rsid w:val="009A21CF"/>
    <w:rsid w:val="009A59DD"/>
    <w:rsid w:val="009B3F45"/>
    <w:rsid w:val="009C6EDE"/>
    <w:rsid w:val="009D17A7"/>
    <w:rsid w:val="009E06F7"/>
    <w:rsid w:val="009E45B2"/>
    <w:rsid w:val="009E4B14"/>
    <w:rsid w:val="009F1F0C"/>
    <w:rsid w:val="009F490E"/>
    <w:rsid w:val="009F7662"/>
    <w:rsid w:val="00A019E1"/>
    <w:rsid w:val="00A166B4"/>
    <w:rsid w:val="00A22696"/>
    <w:rsid w:val="00A24F6F"/>
    <w:rsid w:val="00A30536"/>
    <w:rsid w:val="00A3084B"/>
    <w:rsid w:val="00A415B4"/>
    <w:rsid w:val="00A4448A"/>
    <w:rsid w:val="00A47FC8"/>
    <w:rsid w:val="00A50770"/>
    <w:rsid w:val="00A600DE"/>
    <w:rsid w:val="00A6095E"/>
    <w:rsid w:val="00A635F6"/>
    <w:rsid w:val="00A645BC"/>
    <w:rsid w:val="00A7020B"/>
    <w:rsid w:val="00A71EE6"/>
    <w:rsid w:val="00A7352C"/>
    <w:rsid w:val="00A766C2"/>
    <w:rsid w:val="00A81C96"/>
    <w:rsid w:val="00A8306F"/>
    <w:rsid w:val="00A84628"/>
    <w:rsid w:val="00A87842"/>
    <w:rsid w:val="00A97B60"/>
    <w:rsid w:val="00AA28A3"/>
    <w:rsid w:val="00AA4570"/>
    <w:rsid w:val="00AB3329"/>
    <w:rsid w:val="00AB45DB"/>
    <w:rsid w:val="00AC1967"/>
    <w:rsid w:val="00AC2E10"/>
    <w:rsid w:val="00AC3C41"/>
    <w:rsid w:val="00AD383A"/>
    <w:rsid w:val="00AD4C9B"/>
    <w:rsid w:val="00AE109C"/>
    <w:rsid w:val="00AE318F"/>
    <w:rsid w:val="00AE6DA4"/>
    <w:rsid w:val="00AE6FA1"/>
    <w:rsid w:val="00AF1625"/>
    <w:rsid w:val="00AF1DD1"/>
    <w:rsid w:val="00AF37E2"/>
    <w:rsid w:val="00AF63A3"/>
    <w:rsid w:val="00AF71D4"/>
    <w:rsid w:val="00B016FF"/>
    <w:rsid w:val="00B072D0"/>
    <w:rsid w:val="00B201C4"/>
    <w:rsid w:val="00B20CFE"/>
    <w:rsid w:val="00B21B8C"/>
    <w:rsid w:val="00B31138"/>
    <w:rsid w:val="00B35FA6"/>
    <w:rsid w:val="00B37EAB"/>
    <w:rsid w:val="00B40421"/>
    <w:rsid w:val="00B4106F"/>
    <w:rsid w:val="00B41740"/>
    <w:rsid w:val="00B45804"/>
    <w:rsid w:val="00B53970"/>
    <w:rsid w:val="00B5423E"/>
    <w:rsid w:val="00B60EAE"/>
    <w:rsid w:val="00B6105D"/>
    <w:rsid w:val="00B71FD2"/>
    <w:rsid w:val="00B7526C"/>
    <w:rsid w:val="00B7615D"/>
    <w:rsid w:val="00B80913"/>
    <w:rsid w:val="00B91902"/>
    <w:rsid w:val="00B94381"/>
    <w:rsid w:val="00B96CCD"/>
    <w:rsid w:val="00BA0BB7"/>
    <w:rsid w:val="00BA50AB"/>
    <w:rsid w:val="00BA68EF"/>
    <w:rsid w:val="00BA6CAB"/>
    <w:rsid w:val="00BB6591"/>
    <w:rsid w:val="00BC1E84"/>
    <w:rsid w:val="00BC2912"/>
    <w:rsid w:val="00BC3421"/>
    <w:rsid w:val="00BC68AD"/>
    <w:rsid w:val="00BC755E"/>
    <w:rsid w:val="00BD0677"/>
    <w:rsid w:val="00BE466E"/>
    <w:rsid w:val="00BF0436"/>
    <w:rsid w:val="00BF3462"/>
    <w:rsid w:val="00C013CA"/>
    <w:rsid w:val="00C07D04"/>
    <w:rsid w:val="00C10092"/>
    <w:rsid w:val="00C151F3"/>
    <w:rsid w:val="00C31DF5"/>
    <w:rsid w:val="00C32F3A"/>
    <w:rsid w:val="00C37ED9"/>
    <w:rsid w:val="00C5369B"/>
    <w:rsid w:val="00C56ABE"/>
    <w:rsid w:val="00C661D3"/>
    <w:rsid w:val="00C75344"/>
    <w:rsid w:val="00C81675"/>
    <w:rsid w:val="00C9143B"/>
    <w:rsid w:val="00C9195E"/>
    <w:rsid w:val="00C93C99"/>
    <w:rsid w:val="00CA1BE2"/>
    <w:rsid w:val="00CA4577"/>
    <w:rsid w:val="00CB0732"/>
    <w:rsid w:val="00CC284D"/>
    <w:rsid w:val="00CC6405"/>
    <w:rsid w:val="00CC77FF"/>
    <w:rsid w:val="00CC7DB9"/>
    <w:rsid w:val="00CD2BFE"/>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36A34"/>
    <w:rsid w:val="00D42A58"/>
    <w:rsid w:val="00D4758C"/>
    <w:rsid w:val="00D50190"/>
    <w:rsid w:val="00D64CE6"/>
    <w:rsid w:val="00D73041"/>
    <w:rsid w:val="00D81D57"/>
    <w:rsid w:val="00D82761"/>
    <w:rsid w:val="00D82E32"/>
    <w:rsid w:val="00D92A2C"/>
    <w:rsid w:val="00D946CC"/>
    <w:rsid w:val="00D956F1"/>
    <w:rsid w:val="00D96048"/>
    <w:rsid w:val="00DA23CA"/>
    <w:rsid w:val="00DB03E0"/>
    <w:rsid w:val="00DB6455"/>
    <w:rsid w:val="00DC02A0"/>
    <w:rsid w:val="00DC0B8E"/>
    <w:rsid w:val="00DD2AAC"/>
    <w:rsid w:val="00DD78D8"/>
    <w:rsid w:val="00DE67F3"/>
    <w:rsid w:val="00DF0EC9"/>
    <w:rsid w:val="00DF3B3D"/>
    <w:rsid w:val="00DF53ED"/>
    <w:rsid w:val="00DF6922"/>
    <w:rsid w:val="00E053F8"/>
    <w:rsid w:val="00E06670"/>
    <w:rsid w:val="00E1073F"/>
    <w:rsid w:val="00E10ED4"/>
    <w:rsid w:val="00E156A0"/>
    <w:rsid w:val="00E15B8C"/>
    <w:rsid w:val="00E24AD5"/>
    <w:rsid w:val="00E322AD"/>
    <w:rsid w:val="00E34584"/>
    <w:rsid w:val="00E50633"/>
    <w:rsid w:val="00E61823"/>
    <w:rsid w:val="00E63528"/>
    <w:rsid w:val="00E82939"/>
    <w:rsid w:val="00E858BA"/>
    <w:rsid w:val="00E94D1C"/>
    <w:rsid w:val="00E9610A"/>
    <w:rsid w:val="00E97254"/>
    <w:rsid w:val="00EA0018"/>
    <w:rsid w:val="00EA08DE"/>
    <w:rsid w:val="00EA0F18"/>
    <w:rsid w:val="00EA6D9F"/>
    <w:rsid w:val="00EB3D93"/>
    <w:rsid w:val="00EC3847"/>
    <w:rsid w:val="00EC7F45"/>
    <w:rsid w:val="00ED29FC"/>
    <w:rsid w:val="00ED47F9"/>
    <w:rsid w:val="00ED7769"/>
    <w:rsid w:val="00EE12A0"/>
    <w:rsid w:val="00EE19A2"/>
    <w:rsid w:val="00EE211A"/>
    <w:rsid w:val="00EE3476"/>
    <w:rsid w:val="00EE4823"/>
    <w:rsid w:val="00EF35F3"/>
    <w:rsid w:val="00F04E7D"/>
    <w:rsid w:val="00F11CAD"/>
    <w:rsid w:val="00F1378E"/>
    <w:rsid w:val="00F13A21"/>
    <w:rsid w:val="00F14137"/>
    <w:rsid w:val="00F17608"/>
    <w:rsid w:val="00F20EFA"/>
    <w:rsid w:val="00F23668"/>
    <w:rsid w:val="00F27B7F"/>
    <w:rsid w:val="00F313D0"/>
    <w:rsid w:val="00F31C98"/>
    <w:rsid w:val="00F335D0"/>
    <w:rsid w:val="00F3729E"/>
    <w:rsid w:val="00F41132"/>
    <w:rsid w:val="00F4592A"/>
    <w:rsid w:val="00F50537"/>
    <w:rsid w:val="00F51C3B"/>
    <w:rsid w:val="00F52F2A"/>
    <w:rsid w:val="00F57973"/>
    <w:rsid w:val="00F62191"/>
    <w:rsid w:val="00F67B89"/>
    <w:rsid w:val="00F7009F"/>
    <w:rsid w:val="00F7211E"/>
    <w:rsid w:val="00F730AC"/>
    <w:rsid w:val="00F73512"/>
    <w:rsid w:val="00F81328"/>
    <w:rsid w:val="00FA1518"/>
    <w:rsid w:val="00FA7078"/>
    <w:rsid w:val="00FA7BFE"/>
    <w:rsid w:val="00FB09B1"/>
    <w:rsid w:val="00FB2D63"/>
    <w:rsid w:val="00FC1C86"/>
    <w:rsid w:val="00FC265C"/>
    <w:rsid w:val="00FD3504"/>
    <w:rsid w:val="00FD7D9C"/>
    <w:rsid w:val="00FD7EAE"/>
    <w:rsid w:val="00FE47CB"/>
    <w:rsid w:val="00FE71B3"/>
    <w:rsid w:val="00FF04EE"/>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0800617">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9EB09.08846E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istaknute-teme-12/obavijesti-vezane-uz-potrese-19796/24212" TargetMode="External"/><Relationship Id="rId5" Type="http://schemas.openxmlformats.org/officeDocument/2006/relationships/numbering" Target="numbering.xml"/><Relationship Id="rId15" Type="http://schemas.openxmlformats.org/officeDocument/2006/relationships/image" Target="cid:image001.png@01D9EB06.A910290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4.xml><?xml version="1.0" encoding="utf-8"?>
<ds:datastoreItem xmlns:ds="http://schemas.openxmlformats.org/officeDocument/2006/customXml" ds:itemID="{A5477F05-A089-4B49-854A-CE93B579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Rafaela Petrović Bazina</cp:lastModifiedBy>
  <cp:revision>2</cp:revision>
  <cp:lastPrinted>2017-01-31T14:23:00Z</cp:lastPrinted>
  <dcterms:created xsi:type="dcterms:W3CDTF">2023-09-25T14:11:00Z</dcterms:created>
  <dcterms:modified xsi:type="dcterms:W3CDTF">2023-09-25T14:11:00Z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