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748419380"/>
    <w:bookmarkEnd w:id="0"/>
    <w:p w14:paraId="25CCAB28" w14:textId="77777777" w:rsidR="0083290F" w:rsidRDefault="00CC48A4" w:rsidP="0083290F">
      <w:pPr>
        <w:jc w:val="center"/>
        <w:rPr>
          <w:rFonts w:ascii="Times New Roman" w:hAnsi="Times New Roman" w:cs="Times New Roman"/>
          <w:b/>
          <w:bCs/>
          <w:sz w:val="28"/>
          <w:szCs w:val="28"/>
        </w:rPr>
      </w:pPr>
      <w:r>
        <w:rPr>
          <w:rFonts w:ascii="Times New Roman" w:hAnsi="Times New Roman" w:cs="Times New Roman"/>
          <w:b/>
          <w:bCs/>
          <w:sz w:val="28"/>
          <w:szCs w:val="28"/>
        </w:rPr>
        <w:object w:dxaOrig="1534" w:dyaOrig="994" w14:anchorId="23B4E041">
          <v:shape id="_x0000_i1025" type="#_x0000_t75" style="width:76.7pt;height:49.7pt" o:ole="">
            <v:imagedata r:id="rId11" o:title=""/>
          </v:shape>
          <o:OLEObject Type="Embed" ProgID="Word.Document.12" ShapeID="_x0000_i1025" DrawAspect="Icon" ObjectID="_1748419392" r:id="rId12">
            <o:FieldCodes>\s</o:FieldCodes>
          </o:OLEObject>
        </w:object>
      </w:r>
    </w:p>
    <w:p w14:paraId="223BA23B" w14:textId="77777777" w:rsidR="0083290F" w:rsidRDefault="0083290F" w:rsidP="0083290F">
      <w:pPr>
        <w:jc w:val="center"/>
        <w:rPr>
          <w:rFonts w:ascii="Times New Roman" w:hAnsi="Times New Roman" w:cs="Times New Roman"/>
          <w:b/>
          <w:bCs/>
          <w:sz w:val="28"/>
          <w:szCs w:val="28"/>
        </w:rPr>
      </w:pPr>
    </w:p>
    <w:p w14:paraId="64CB8739" w14:textId="77777777" w:rsidR="0083290F" w:rsidRDefault="0083290F" w:rsidP="0083290F">
      <w:pPr>
        <w:jc w:val="center"/>
        <w:rPr>
          <w:rFonts w:ascii="Times New Roman" w:hAnsi="Times New Roman" w:cs="Times New Roman"/>
          <w:b/>
          <w:bCs/>
          <w:sz w:val="28"/>
          <w:szCs w:val="28"/>
        </w:rPr>
      </w:pPr>
    </w:p>
    <w:p w14:paraId="6F0F9515" w14:textId="77777777" w:rsidR="0083290F" w:rsidRDefault="0083290F" w:rsidP="0083290F">
      <w:pPr>
        <w:jc w:val="center"/>
        <w:rPr>
          <w:rFonts w:ascii="Times New Roman" w:hAnsi="Times New Roman" w:cs="Times New Roman"/>
          <w:b/>
          <w:bCs/>
          <w:sz w:val="28"/>
          <w:szCs w:val="28"/>
        </w:rPr>
      </w:pPr>
    </w:p>
    <w:p w14:paraId="43D73EBD" w14:textId="1F125E72" w:rsidR="0083290F" w:rsidRDefault="0083290F" w:rsidP="0083290F">
      <w:pPr>
        <w:jc w:val="center"/>
        <w:rPr>
          <w:rFonts w:ascii="Times New Roman" w:hAnsi="Times New Roman" w:cs="Times New Roman"/>
          <w:b/>
          <w:bCs/>
          <w:sz w:val="28"/>
          <w:szCs w:val="28"/>
        </w:rPr>
      </w:pPr>
      <w:r w:rsidRPr="00CD7728">
        <w:rPr>
          <w:rFonts w:ascii="Times New Roman" w:hAnsi="Times New Roman" w:cs="Times New Roman"/>
          <w:b/>
          <w:bCs/>
          <w:sz w:val="28"/>
          <w:szCs w:val="28"/>
        </w:rPr>
        <w:t>Poziv na dodjelu bespovratnih</w:t>
      </w:r>
      <w:r w:rsidR="00B860DD">
        <w:rPr>
          <w:rFonts w:ascii="Times New Roman" w:hAnsi="Times New Roman" w:cs="Times New Roman"/>
          <w:b/>
          <w:bCs/>
          <w:sz w:val="28"/>
          <w:szCs w:val="28"/>
        </w:rPr>
        <w:t xml:space="preserve"> financijskih</w:t>
      </w:r>
      <w:r w:rsidRPr="00CD7728">
        <w:rPr>
          <w:rFonts w:ascii="Times New Roman" w:hAnsi="Times New Roman" w:cs="Times New Roman"/>
          <w:b/>
          <w:bCs/>
          <w:sz w:val="28"/>
          <w:szCs w:val="28"/>
        </w:rPr>
        <w:t xml:space="preserve"> sredstava</w:t>
      </w:r>
    </w:p>
    <w:p w14:paraId="4593BF82" w14:textId="5EAB41D3" w:rsidR="00983CB5" w:rsidRDefault="00983CB5" w:rsidP="00F55A6A">
      <w:pPr>
        <w:jc w:val="center"/>
        <w:rPr>
          <w:rFonts w:ascii="Times New Roman" w:hAnsi="Times New Roman" w:cs="Times New Roman"/>
          <w:b/>
          <w:sz w:val="40"/>
          <w:szCs w:val="40"/>
        </w:rPr>
      </w:pPr>
      <w:r w:rsidRPr="00983CB5">
        <w:rPr>
          <w:rFonts w:ascii="Times New Roman" w:hAnsi="Times New Roman" w:cs="Times New Roman"/>
          <w:b/>
          <w:sz w:val="40"/>
          <w:szCs w:val="40"/>
        </w:rPr>
        <w:t>Provedba mjera zaštite kulturne baštine oštećene u potresu 22. ožujka 2020. godine na području Grada Zagreba, Krapinsko-zagorske i Zagrebačke županije</w:t>
      </w:r>
      <w:r w:rsidR="00C81371" w:rsidRPr="00C81371">
        <w:t xml:space="preserve"> </w:t>
      </w:r>
    </w:p>
    <w:p w14:paraId="6B091471" w14:textId="56621641" w:rsidR="00F55A6A" w:rsidRDefault="00F55A6A" w:rsidP="00F55A6A">
      <w:pPr>
        <w:jc w:val="center"/>
        <w:rPr>
          <w:rFonts w:ascii="Times New Roman" w:hAnsi="Times New Roman" w:cs="Times New Roman"/>
          <w:b/>
          <w:sz w:val="40"/>
          <w:szCs w:val="40"/>
        </w:rPr>
      </w:pPr>
    </w:p>
    <w:p w14:paraId="0BFCA856" w14:textId="76D2B438" w:rsidR="00F55A6A" w:rsidRDefault="00F55A6A" w:rsidP="00F55A6A">
      <w:pPr>
        <w:jc w:val="center"/>
        <w:rPr>
          <w:rFonts w:ascii="Times New Roman" w:hAnsi="Times New Roman" w:cs="Times New Roman"/>
          <w:b/>
          <w:sz w:val="40"/>
          <w:szCs w:val="40"/>
        </w:rPr>
      </w:pPr>
    </w:p>
    <w:p w14:paraId="5882DF42" w14:textId="77777777" w:rsidR="00F55A6A" w:rsidRPr="00983CB5" w:rsidRDefault="00F55A6A" w:rsidP="00F55A6A">
      <w:pPr>
        <w:jc w:val="center"/>
        <w:rPr>
          <w:rFonts w:ascii="Times New Roman" w:hAnsi="Times New Roman" w:cs="Times New Roman"/>
          <w:b/>
          <w:sz w:val="40"/>
          <w:szCs w:val="40"/>
        </w:rPr>
      </w:pPr>
    </w:p>
    <w:p w14:paraId="5026A808" w14:textId="77777777" w:rsidR="00983CB5" w:rsidRPr="00983CB5" w:rsidRDefault="00983CB5" w:rsidP="00983CB5">
      <w:pPr>
        <w:jc w:val="center"/>
        <w:rPr>
          <w:rFonts w:ascii="Times New Roman" w:hAnsi="Times New Roman" w:cs="Times New Roman"/>
          <w:b/>
          <w:sz w:val="28"/>
          <w:szCs w:val="28"/>
        </w:rPr>
      </w:pPr>
    </w:p>
    <w:p w14:paraId="136CAC76" w14:textId="3FA3DB3B" w:rsidR="00983CB5" w:rsidRDefault="00983CB5" w:rsidP="00983CB5">
      <w:pPr>
        <w:jc w:val="center"/>
        <w:rPr>
          <w:rFonts w:ascii="Times New Roman" w:hAnsi="Times New Roman" w:cs="Times New Roman"/>
          <w:b/>
          <w:sz w:val="28"/>
          <w:szCs w:val="28"/>
        </w:rPr>
      </w:pPr>
      <w:r w:rsidRPr="00983CB5">
        <w:rPr>
          <w:rFonts w:ascii="Times New Roman" w:hAnsi="Times New Roman" w:cs="Times New Roman"/>
          <w:b/>
          <w:sz w:val="28"/>
          <w:szCs w:val="28"/>
        </w:rPr>
        <w:t xml:space="preserve">(KLASA: </w:t>
      </w:r>
      <w:r w:rsidR="00F53539" w:rsidRPr="00F53539">
        <w:rPr>
          <w:rFonts w:ascii="Times New Roman" w:hAnsi="Times New Roman" w:cs="Times New Roman"/>
          <w:b/>
          <w:sz w:val="28"/>
          <w:szCs w:val="28"/>
        </w:rPr>
        <w:t>023-03/21-01/0015</w:t>
      </w:r>
      <w:r w:rsidRPr="00983CB5">
        <w:rPr>
          <w:rFonts w:ascii="Times New Roman" w:hAnsi="Times New Roman" w:cs="Times New Roman"/>
          <w:b/>
          <w:sz w:val="28"/>
          <w:szCs w:val="28"/>
        </w:rPr>
        <w:t>)</w:t>
      </w:r>
    </w:p>
    <w:p w14:paraId="152649F2" w14:textId="11BB6C16" w:rsidR="0083290F" w:rsidRPr="00983CB5" w:rsidRDefault="00C81371" w:rsidP="00983CB5">
      <w:pPr>
        <w:jc w:val="center"/>
        <w:rPr>
          <w:rFonts w:ascii="Times New Roman" w:hAnsi="Times New Roman" w:cs="Times New Roman"/>
          <w:b/>
          <w:sz w:val="28"/>
          <w:szCs w:val="28"/>
        </w:rPr>
      </w:pPr>
      <w:r>
        <w:rPr>
          <w:rFonts w:ascii="Times New Roman" w:hAnsi="Times New Roman" w:cs="Times New Roman"/>
          <w:b/>
          <w:i/>
          <w:sz w:val="24"/>
          <w:szCs w:val="24"/>
        </w:rPr>
        <w:t xml:space="preserve">Četvrta </w:t>
      </w:r>
      <w:r w:rsidR="00B860DD">
        <w:rPr>
          <w:rFonts w:ascii="Times New Roman" w:hAnsi="Times New Roman" w:cs="Times New Roman"/>
          <w:b/>
          <w:i/>
          <w:sz w:val="24"/>
          <w:szCs w:val="24"/>
        </w:rPr>
        <w:t xml:space="preserve">izmjena </w:t>
      </w:r>
      <w:r w:rsidR="00230969">
        <w:rPr>
          <w:rFonts w:ascii="Times New Roman" w:hAnsi="Times New Roman" w:cs="Times New Roman"/>
          <w:b/>
          <w:i/>
          <w:sz w:val="24"/>
          <w:szCs w:val="24"/>
        </w:rPr>
        <w:t>P</w:t>
      </w:r>
      <w:r w:rsidR="00B860DD">
        <w:rPr>
          <w:rFonts w:ascii="Times New Roman" w:hAnsi="Times New Roman" w:cs="Times New Roman"/>
          <w:b/>
          <w:i/>
          <w:sz w:val="24"/>
          <w:szCs w:val="24"/>
        </w:rPr>
        <w:t>oziva</w:t>
      </w:r>
      <w:r w:rsidR="0083290F" w:rsidRPr="004866B2">
        <w:rPr>
          <w:rFonts w:ascii="Times New Roman" w:hAnsi="Times New Roman" w:cs="Times New Roman"/>
          <w:b/>
          <w:i/>
          <w:sz w:val="24"/>
          <w:szCs w:val="24"/>
        </w:rPr>
        <w:t xml:space="preserve"> </w:t>
      </w:r>
    </w:p>
    <w:p w14:paraId="78EF91AB" w14:textId="77777777" w:rsidR="0083290F" w:rsidRDefault="0083290F" w:rsidP="0083290F">
      <w:pPr>
        <w:spacing w:after="0" w:line="240" w:lineRule="auto"/>
        <w:jc w:val="center"/>
        <w:rPr>
          <w:rFonts w:ascii="Times New Roman" w:hAnsi="Times New Roman" w:cs="Times New Roman"/>
          <w:b/>
          <w:i/>
          <w:sz w:val="24"/>
          <w:szCs w:val="24"/>
        </w:rPr>
      </w:pPr>
    </w:p>
    <w:p w14:paraId="19B43546" w14:textId="77777777" w:rsidR="0083290F" w:rsidRDefault="0083290F" w:rsidP="0083290F">
      <w:pPr>
        <w:spacing w:after="0" w:line="240" w:lineRule="auto"/>
        <w:jc w:val="center"/>
        <w:rPr>
          <w:rFonts w:ascii="Times New Roman" w:hAnsi="Times New Roman" w:cs="Times New Roman"/>
          <w:b/>
          <w:i/>
          <w:sz w:val="24"/>
          <w:szCs w:val="24"/>
        </w:rPr>
      </w:pPr>
    </w:p>
    <w:p w14:paraId="4F2F5A9E" w14:textId="696D7C5B" w:rsidR="003F3A4E" w:rsidRDefault="006B3F2F" w:rsidP="008329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Obrazac </w:t>
      </w:r>
      <w:r w:rsidR="00983CB5">
        <w:rPr>
          <w:rFonts w:ascii="Times New Roman" w:hAnsi="Times New Roman" w:cs="Times New Roman"/>
          <w:b/>
          <w:sz w:val="28"/>
          <w:szCs w:val="28"/>
        </w:rPr>
        <w:t>9.</w:t>
      </w:r>
      <w:r w:rsidR="0083290F" w:rsidRPr="00D65679">
        <w:rPr>
          <w:rFonts w:ascii="Times New Roman" w:hAnsi="Times New Roman" w:cs="Times New Roman"/>
          <w:b/>
          <w:sz w:val="28"/>
          <w:szCs w:val="28"/>
        </w:rPr>
        <w:t xml:space="preserve"> </w:t>
      </w:r>
    </w:p>
    <w:p w14:paraId="316C847D" w14:textId="4411CB77" w:rsidR="0083290F" w:rsidRPr="00D65679" w:rsidRDefault="003F3A4E" w:rsidP="008329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w:t>
      </w:r>
      <w:r w:rsidR="0083290F">
        <w:rPr>
          <w:rFonts w:ascii="Times New Roman" w:hAnsi="Times New Roman" w:cs="Times New Roman"/>
          <w:b/>
          <w:sz w:val="28"/>
          <w:szCs w:val="28"/>
        </w:rPr>
        <w:t xml:space="preserve">sklađenost projektnog prijedloga s DNSH načelom </w:t>
      </w:r>
    </w:p>
    <w:p w14:paraId="2B2382E2" w14:textId="77777777" w:rsidR="0083290F" w:rsidRDefault="0083290F" w:rsidP="0083290F">
      <w:pPr>
        <w:spacing w:after="0" w:line="240" w:lineRule="auto"/>
        <w:jc w:val="center"/>
        <w:rPr>
          <w:rFonts w:ascii="Times New Roman" w:hAnsi="Times New Roman" w:cs="Times New Roman"/>
          <w:b/>
          <w:i/>
          <w:sz w:val="24"/>
          <w:szCs w:val="24"/>
        </w:rPr>
      </w:pPr>
    </w:p>
    <w:p w14:paraId="0C60D8EB" w14:textId="77777777" w:rsidR="0083290F" w:rsidRDefault="0083290F" w:rsidP="0083290F">
      <w:pPr>
        <w:spacing w:after="0" w:line="240" w:lineRule="auto"/>
        <w:jc w:val="center"/>
        <w:rPr>
          <w:rFonts w:ascii="Times New Roman" w:hAnsi="Times New Roman" w:cs="Times New Roman"/>
          <w:b/>
          <w:i/>
          <w:sz w:val="24"/>
          <w:szCs w:val="24"/>
        </w:rPr>
      </w:pPr>
    </w:p>
    <w:p w14:paraId="7A6E676A" w14:textId="77777777" w:rsidR="0083290F" w:rsidRDefault="0083290F" w:rsidP="0083290F">
      <w:pPr>
        <w:spacing w:after="0" w:line="240" w:lineRule="auto"/>
        <w:jc w:val="center"/>
        <w:rPr>
          <w:rFonts w:ascii="Times New Roman" w:hAnsi="Times New Roman" w:cs="Times New Roman"/>
          <w:b/>
          <w:i/>
          <w:sz w:val="24"/>
          <w:szCs w:val="24"/>
        </w:rPr>
      </w:pPr>
    </w:p>
    <w:p w14:paraId="7882489D" w14:textId="77777777" w:rsidR="0083290F" w:rsidRDefault="0083290F" w:rsidP="0083290F">
      <w:pPr>
        <w:spacing w:after="0" w:line="240" w:lineRule="auto"/>
        <w:jc w:val="center"/>
        <w:rPr>
          <w:rFonts w:ascii="Times New Roman" w:hAnsi="Times New Roman" w:cs="Times New Roman"/>
          <w:b/>
          <w:i/>
          <w:sz w:val="24"/>
          <w:szCs w:val="24"/>
        </w:rPr>
      </w:pPr>
    </w:p>
    <w:p w14:paraId="392899A9" w14:textId="77777777" w:rsidR="0083290F" w:rsidRDefault="0083290F" w:rsidP="0083290F">
      <w:pPr>
        <w:spacing w:after="0" w:line="240" w:lineRule="auto"/>
        <w:jc w:val="center"/>
        <w:rPr>
          <w:rFonts w:ascii="Times New Roman" w:hAnsi="Times New Roman" w:cs="Times New Roman"/>
          <w:b/>
          <w:i/>
          <w:sz w:val="24"/>
          <w:szCs w:val="24"/>
        </w:rPr>
      </w:pPr>
    </w:p>
    <w:p w14:paraId="659BAE27" w14:textId="77777777" w:rsidR="0083290F" w:rsidRDefault="0083290F" w:rsidP="0083290F">
      <w:pPr>
        <w:spacing w:after="0" w:line="240" w:lineRule="auto"/>
        <w:jc w:val="center"/>
        <w:rPr>
          <w:rFonts w:ascii="Times New Roman" w:hAnsi="Times New Roman" w:cs="Times New Roman"/>
          <w:b/>
          <w:i/>
          <w:sz w:val="24"/>
          <w:szCs w:val="24"/>
        </w:rPr>
      </w:pPr>
    </w:p>
    <w:p w14:paraId="2074EC21" w14:textId="77777777" w:rsidR="0083290F" w:rsidRDefault="0083290F" w:rsidP="0083290F">
      <w:pPr>
        <w:spacing w:after="0" w:line="240" w:lineRule="auto"/>
        <w:jc w:val="center"/>
        <w:rPr>
          <w:rFonts w:ascii="Times New Roman" w:hAnsi="Times New Roman" w:cs="Times New Roman"/>
          <w:b/>
          <w:i/>
          <w:sz w:val="24"/>
          <w:szCs w:val="24"/>
        </w:rPr>
      </w:pPr>
    </w:p>
    <w:p w14:paraId="565D9181" w14:textId="77777777" w:rsidR="0083290F" w:rsidRPr="00931117" w:rsidRDefault="0083290F" w:rsidP="0083290F">
      <w:pPr>
        <w:pStyle w:val="NoSpacing"/>
        <w:rPr>
          <w:rFonts w:ascii="Times New Roman" w:hAnsi="Times New Roman" w:cs="Times New Roman"/>
        </w:rPr>
      </w:pPr>
    </w:p>
    <w:p w14:paraId="72FC9625" w14:textId="78252CFA" w:rsidR="0083290F" w:rsidRDefault="0083290F" w:rsidP="0083290F">
      <w:pPr>
        <w:jc w:val="center"/>
        <w:rPr>
          <w:rFonts w:ascii="Times New Roman" w:eastAsiaTheme="majorEastAsia" w:hAnsi="Times New Roman" w:cs="Times New Roman"/>
          <w:b/>
          <w:sz w:val="28"/>
          <w:szCs w:val="28"/>
        </w:rPr>
      </w:pPr>
      <w:bookmarkStart w:id="1" w:name="bookmark0"/>
      <w:bookmarkStart w:id="2" w:name="bookmark1"/>
      <w:bookmarkStart w:id="3" w:name="bookmark3"/>
      <w:bookmarkStart w:id="4" w:name="bookmark4"/>
      <w:bookmarkStart w:id="5" w:name="bookmark8"/>
      <w:bookmarkEnd w:id="1"/>
      <w:bookmarkEnd w:id="2"/>
      <w:bookmarkEnd w:id="3"/>
      <w:bookmarkEnd w:id="4"/>
      <w:bookmarkEnd w:id="5"/>
      <w:r w:rsidRPr="00297174">
        <w:rPr>
          <w:rFonts w:ascii="Times New Roman" w:eastAsiaTheme="majorEastAsia" w:hAnsi="Times New Roman" w:cs="Times New Roman"/>
          <w:b/>
          <w:sz w:val="28"/>
          <w:szCs w:val="28"/>
        </w:rPr>
        <w:lastRenderedPageBreak/>
        <w:t>Ovaj poziv se financira iz</w:t>
      </w:r>
      <w:r w:rsidR="00B860DD">
        <w:rPr>
          <w:rFonts w:ascii="Times New Roman" w:eastAsiaTheme="majorEastAsia" w:hAnsi="Times New Roman" w:cs="Times New Roman"/>
          <w:b/>
          <w:sz w:val="28"/>
          <w:szCs w:val="28"/>
        </w:rPr>
        <w:t xml:space="preserve"> Fonda solidarnosti europske unije i</w:t>
      </w:r>
      <w:r w:rsidRPr="00297174">
        <w:rPr>
          <w:rFonts w:ascii="Times New Roman" w:eastAsiaTheme="majorEastAsia" w:hAnsi="Times New Roman" w:cs="Times New Roman"/>
          <w:b/>
          <w:sz w:val="28"/>
          <w:szCs w:val="28"/>
        </w:rPr>
        <w:t xml:space="preserve"> Mehanizma za oporavak i otpornost.</w:t>
      </w:r>
    </w:p>
    <w:p w14:paraId="5C6629C7" w14:textId="77777777" w:rsidR="0083290F" w:rsidRDefault="0083290F" w:rsidP="0083290F">
      <w:pPr>
        <w:jc w:val="center"/>
        <w:rPr>
          <w:rFonts w:ascii="Times New Roman" w:eastAsiaTheme="majorEastAsia" w:hAnsi="Times New Roman" w:cs="Times New Roman"/>
          <w:b/>
          <w:sz w:val="28"/>
          <w:szCs w:val="28"/>
        </w:rPr>
      </w:pPr>
    </w:p>
    <w:p w14:paraId="041E076F" w14:textId="0E43243C" w:rsidR="0093349F" w:rsidRPr="00305153" w:rsidRDefault="0083290F" w:rsidP="0083290F">
      <w:pPr>
        <w:jc w:val="center"/>
        <w:rPr>
          <w:rFonts w:ascii="Times New Roman" w:eastAsia="Times New Roman" w:hAnsi="Times New Roman" w:cs="Times New Roman"/>
          <w:b/>
          <w:sz w:val="24"/>
          <w:szCs w:val="24"/>
        </w:rPr>
      </w:pPr>
      <w:r w:rsidRPr="00305153">
        <w:rPr>
          <w:rFonts w:ascii="Times New Roman" w:hAnsi="Times New Roman" w:cs="Times New Roman"/>
          <w:b/>
          <w:bCs/>
          <w:sz w:val="24"/>
          <w:szCs w:val="24"/>
        </w:rPr>
        <w:t xml:space="preserve">Usklađenost projektnog prijedloga s DNSH načelom </w:t>
      </w:r>
    </w:p>
    <w:p w14:paraId="6D8EC1CC" w14:textId="77777777" w:rsidR="004C504C" w:rsidRPr="00C46EF0" w:rsidRDefault="004C504C" w:rsidP="00C46EF0">
      <w:pPr>
        <w:spacing w:after="0"/>
        <w:jc w:val="both"/>
        <w:rPr>
          <w:rFonts w:ascii="Times New Roman" w:hAnsi="Times New Roman" w:cs="Times New Roman"/>
          <w:noProof/>
          <w:lang w:eastAsia="en-US"/>
        </w:rPr>
      </w:pPr>
      <w:r w:rsidRPr="00C46EF0">
        <w:rPr>
          <w:rFonts w:ascii="Times New Roman" w:hAnsi="Times New Roman" w:cs="Times New Roman"/>
          <w:noProof/>
          <w:lang w:eastAsia="en-US"/>
        </w:rPr>
        <w:t>Potrebno je ispuniti posljednji stupac u kojem će se obrazložiti na koji način konkretan projektni prijedlog zadovoljava uvjete iz pojedinog zahtjeva DNSH, odnosno na koji način je sukladan s obrazloženjem navedenim u stupcu „</w:t>
      </w:r>
      <w:r w:rsidRPr="00C46EF0">
        <w:rPr>
          <w:rFonts w:ascii="Times New Roman" w:hAnsi="Times New Roman" w:cs="Times New Roman"/>
          <w:b/>
          <w:i/>
          <w:noProof/>
          <w:lang w:eastAsia="en-US"/>
        </w:rPr>
        <w:t>Usklađenost s DNSH načelom na razini Poziva</w:t>
      </w:r>
      <w:r w:rsidRPr="00C46EF0">
        <w:rPr>
          <w:rFonts w:ascii="Times New Roman" w:hAnsi="Times New Roman" w:cs="Times New Roman"/>
          <w:noProof/>
          <w:lang w:eastAsia="en-US"/>
        </w:rPr>
        <w:t>“.</w:t>
      </w:r>
    </w:p>
    <w:p w14:paraId="18AD8F06" w14:textId="77777777" w:rsidR="004C504C" w:rsidRPr="00C46EF0" w:rsidRDefault="004C504C" w:rsidP="004C504C">
      <w:pPr>
        <w:spacing w:after="0"/>
        <w:rPr>
          <w:rFonts w:ascii="Times New Roman" w:hAnsi="Times New Roman" w:cs="Times New Roman"/>
          <w:b/>
          <w:bCs/>
          <w:noProof/>
          <w:lang w:eastAsia="en-US"/>
        </w:rPr>
      </w:pPr>
    </w:p>
    <w:p w14:paraId="5554908D" w14:textId="0C89C7B0" w:rsidR="004C504C" w:rsidRPr="00C46EF0" w:rsidRDefault="004C504C" w:rsidP="004C504C">
      <w:pPr>
        <w:spacing w:after="80"/>
        <w:rPr>
          <w:rFonts w:ascii="Times New Roman" w:hAnsi="Times New Roman" w:cs="Times New Roman"/>
          <w:b/>
          <w:bCs/>
          <w:noProof/>
          <w:lang w:eastAsia="en-US"/>
        </w:rPr>
      </w:pPr>
    </w:p>
    <w:tbl>
      <w:tblPr>
        <w:tblStyle w:val="TableGrid"/>
        <w:tblW w:w="0" w:type="auto"/>
        <w:tblLook w:val="04A0" w:firstRow="1" w:lastRow="0" w:firstColumn="1" w:lastColumn="0" w:noHBand="0" w:noVBand="1"/>
      </w:tblPr>
      <w:tblGrid>
        <w:gridCol w:w="3020"/>
        <w:gridCol w:w="3021"/>
        <w:gridCol w:w="3021"/>
      </w:tblGrid>
      <w:tr w:rsidR="00C46EF0" w:rsidRPr="00C46EF0" w14:paraId="04044E26" w14:textId="77777777" w:rsidTr="00C46EF0">
        <w:tc>
          <w:tcPr>
            <w:tcW w:w="3020" w:type="dxa"/>
            <w:shd w:val="clear" w:color="auto" w:fill="D9D9D9" w:themeFill="background1" w:themeFillShade="D9"/>
          </w:tcPr>
          <w:p w14:paraId="591C39A6" w14:textId="51E2E6D7" w:rsidR="00C46EF0" w:rsidRPr="00C46EF0" w:rsidRDefault="00C46EF0" w:rsidP="00C46EF0">
            <w:pPr>
              <w:rPr>
                <w:b/>
                <w:bCs/>
                <w:noProof/>
                <w:sz w:val="22"/>
                <w:szCs w:val="22"/>
                <w:lang w:val="hr-HR"/>
              </w:rPr>
            </w:pPr>
            <w:r w:rsidRPr="00C46EF0">
              <w:rPr>
                <w:b/>
                <w:bCs/>
                <w:noProof/>
                <w:sz w:val="22"/>
                <w:szCs w:val="22"/>
                <w:lang w:val="hr-HR"/>
              </w:rPr>
              <w:t xml:space="preserve">Okolišni cilj  </w:t>
            </w:r>
          </w:p>
        </w:tc>
        <w:tc>
          <w:tcPr>
            <w:tcW w:w="3021" w:type="dxa"/>
            <w:shd w:val="clear" w:color="auto" w:fill="D9D9D9" w:themeFill="background1" w:themeFillShade="D9"/>
          </w:tcPr>
          <w:p w14:paraId="2ADC6EFF" w14:textId="08BE954F" w:rsidR="00C46EF0" w:rsidRPr="00C46EF0" w:rsidRDefault="00C46EF0" w:rsidP="00C46EF0">
            <w:pPr>
              <w:rPr>
                <w:b/>
                <w:bCs/>
                <w:noProof/>
                <w:sz w:val="22"/>
                <w:szCs w:val="22"/>
                <w:lang w:val="hr-HR"/>
              </w:rPr>
            </w:pPr>
            <w:r w:rsidRPr="00C46EF0">
              <w:rPr>
                <w:b/>
                <w:bCs/>
                <w:noProof/>
                <w:sz w:val="22"/>
                <w:szCs w:val="22"/>
                <w:lang w:val="hr-HR"/>
              </w:rPr>
              <w:t>Usklađenost s DNSH načelom na razini Poziva</w:t>
            </w:r>
          </w:p>
        </w:tc>
        <w:tc>
          <w:tcPr>
            <w:tcW w:w="3021" w:type="dxa"/>
            <w:shd w:val="clear" w:color="auto" w:fill="D9D9D9" w:themeFill="background1" w:themeFillShade="D9"/>
          </w:tcPr>
          <w:p w14:paraId="659AF05F" w14:textId="2FBA20A0" w:rsidR="00C46EF0" w:rsidRPr="00C46EF0" w:rsidRDefault="00C46EF0" w:rsidP="00C46EF0">
            <w:pPr>
              <w:rPr>
                <w:b/>
                <w:bCs/>
                <w:noProof/>
                <w:sz w:val="22"/>
                <w:szCs w:val="22"/>
                <w:lang w:val="hr-HR"/>
              </w:rPr>
            </w:pPr>
            <w:r w:rsidRPr="00C46EF0">
              <w:rPr>
                <w:b/>
                <w:bCs/>
                <w:noProof/>
                <w:sz w:val="22"/>
                <w:szCs w:val="22"/>
                <w:lang w:val="hr-HR"/>
              </w:rPr>
              <w:t>Obrazloženje sukladnosti projektnog prijedloga s navedenim načelima  (ispunjava prijavitelj)</w:t>
            </w:r>
          </w:p>
        </w:tc>
      </w:tr>
      <w:tr w:rsidR="00C46EF0" w:rsidRPr="00C46EF0" w14:paraId="39B7728D" w14:textId="77777777" w:rsidTr="00C46EF0">
        <w:tc>
          <w:tcPr>
            <w:tcW w:w="3020" w:type="dxa"/>
          </w:tcPr>
          <w:p w14:paraId="08379083" w14:textId="77777777" w:rsidR="00C46EF0" w:rsidRPr="00C46EF0" w:rsidRDefault="00C46EF0" w:rsidP="00C46EF0">
            <w:pPr>
              <w:pStyle w:val="TableParagraph"/>
              <w:jc w:val="center"/>
              <w:rPr>
                <w:b/>
                <w:sz w:val="22"/>
                <w:szCs w:val="22"/>
                <w:lang w:val="hr-HR"/>
              </w:rPr>
            </w:pPr>
          </w:p>
          <w:p w14:paraId="3436AEEB" w14:textId="56AF9E8C" w:rsidR="00C46EF0" w:rsidRPr="00C46EF0" w:rsidRDefault="00C46EF0" w:rsidP="00C46EF0">
            <w:pPr>
              <w:rPr>
                <w:b/>
                <w:bCs/>
                <w:noProof/>
                <w:sz w:val="22"/>
                <w:szCs w:val="22"/>
                <w:lang w:val="hr-HR"/>
              </w:rPr>
            </w:pPr>
            <w:r w:rsidRPr="00C46EF0">
              <w:rPr>
                <w:b/>
                <w:sz w:val="22"/>
                <w:szCs w:val="22"/>
                <w:lang w:val="hr-HR"/>
              </w:rPr>
              <w:t xml:space="preserve">Ublažavanje </w:t>
            </w:r>
            <w:r w:rsidRPr="00C46EF0">
              <w:rPr>
                <w:b/>
                <w:spacing w:val="-1"/>
                <w:sz w:val="22"/>
                <w:szCs w:val="22"/>
                <w:lang w:val="hr-HR"/>
              </w:rPr>
              <w:t>klimatskih</w:t>
            </w:r>
            <w:r w:rsidRPr="00C46EF0">
              <w:rPr>
                <w:b/>
                <w:spacing w:val="-47"/>
                <w:sz w:val="22"/>
                <w:szCs w:val="22"/>
                <w:lang w:val="hr-HR"/>
              </w:rPr>
              <w:t xml:space="preserve"> </w:t>
            </w:r>
            <w:r w:rsidRPr="00C46EF0">
              <w:rPr>
                <w:b/>
                <w:sz w:val="22"/>
                <w:szCs w:val="22"/>
                <w:lang w:val="hr-HR"/>
              </w:rPr>
              <w:t>promjena</w:t>
            </w:r>
          </w:p>
        </w:tc>
        <w:tc>
          <w:tcPr>
            <w:tcW w:w="3021" w:type="dxa"/>
          </w:tcPr>
          <w:p w14:paraId="2B312F0B" w14:textId="00136591" w:rsidR="00040B3A" w:rsidRPr="00A4028A" w:rsidRDefault="00040B3A" w:rsidP="00040B3A">
            <w:pPr>
              <w:pStyle w:val="NoSpacing"/>
              <w:jc w:val="both"/>
              <w:rPr>
                <w:sz w:val="22"/>
                <w:szCs w:val="22"/>
                <w:lang w:val="hr-HR"/>
              </w:rPr>
            </w:pPr>
            <w:r w:rsidRPr="00A4028A">
              <w:rPr>
                <w:sz w:val="22"/>
                <w:szCs w:val="22"/>
              </w:rPr>
              <w:t>Cjelovitom i energetskom obnovom zgrada sa statusom kulturnog dobra koje su oštećene u potresu</w:t>
            </w:r>
            <w:r w:rsidRPr="00B860DD">
              <w:rPr>
                <w:sz w:val="22"/>
                <w:szCs w:val="22"/>
                <w:lang w:val="hr-HR"/>
              </w:rPr>
              <w:t xml:space="preserve"> </w:t>
            </w:r>
            <w:r w:rsidR="002F5F27" w:rsidRPr="00A4028A">
              <w:rPr>
                <w:sz w:val="22"/>
                <w:szCs w:val="22"/>
              </w:rPr>
              <w:t xml:space="preserve">postiže </w:t>
            </w:r>
            <w:r w:rsidRPr="00A4028A">
              <w:rPr>
                <w:sz w:val="22"/>
                <w:szCs w:val="22"/>
              </w:rPr>
              <w:t>se ušteda godišnje primarne energije (Eprim) (kWh/god) od najmanje 30% u odnosu na stanje prije obnove, kao i smanjenje emisija stakleničkih plinova.</w:t>
            </w:r>
          </w:p>
          <w:p w14:paraId="18E679D0" w14:textId="34D6C206" w:rsidR="00040B3A" w:rsidRPr="00A4028A" w:rsidRDefault="004377AC" w:rsidP="00040B3A">
            <w:pPr>
              <w:pStyle w:val="NoSpacing"/>
              <w:jc w:val="both"/>
              <w:rPr>
                <w:sz w:val="22"/>
                <w:szCs w:val="22"/>
                <w:lang w:val="hr-HR"/>
              </w:rPr>
            </w:pPr>
            <w:r w:rsidRPr="00A4028A">
              <w:rPr>
                <w:sz w:val="22"/>
                <w:szCs w:val="22"/>
              </w:rPr>
              <w:t xml:space="preserve">Zgrade koje su </w:t>
            </w:r>
            <w:r w:rsidR="00040B3A" w:rsidRPr="00A4028A">
              <w:rPr>
                <w:sz w:val="22"/>
                <w:szCs w:val="22"/>
              </w:rPr>
              <w:t xml:space="preserve">predmet obnove </w:t>
            </w:r>
            <w:r w:rsidRPr="00A4028A">
              <w:rPr>
                <w:sz w:val="22"/>
                <w:szCs w:val="22"/>
              </w:rPr>
              <w:t xml:space="preserve">nisu namijenjene </w:t>
            </w:r>
            <w:r w:rsidR="00040B3A" w:rsidRPr="00A4028A">
              <w:rPr>
                <w:sz w:val="22"/>
                <w:szCs w:val="22"/>
              </w:rPr>
              <w:t>vađenju, skladištenju, transportu ili proizvodnji fosilnih goriva.</w:t>
            </w:r>
          </w:p>
          <w:p w14:paraId="6E00BF1A" w14:textId="688E26D7" w:rsidR="00B91FD8" w:rsidRPr="00B91FD8" w:rsidRDefault="00B91FD8" w:rsidP="00B91FD8">
            <w:pPr>
              <w:pStyle w:val="NoSpacing"/>
              <w:jc w:val="both"/>
              <w:rPr>
                <w:sz w:val="22"/>
                <w:szCs w:val="22"/>
                <w:lang w:val="hr-HR"/>
              </w:rPr>
            </w:pPr>
            <w:r w:rsidRPr="00B91FD8">
              <w:rPr>
                <w:sz w:val="22"/>
                <w:szCs w:val="22"/>
                <w:lang w:val="hr-HR"/>
              </w:rPr>
              <w:t xml:space="preserve">Financiranje ugradnje kotlova i sustava grijanja na prirodni plin u </w:t>
            </w:r>
            <w:r w:rsidR="0045537A" w:rsidRPr="00B91FD8">
              <w:rPr>
                <w:sz w:val="22"/>
                <w:szCs w:val="22"/>
                <w:lang w:val="hr-HR"/>
              </w:rPr>
              <w:t>zgrad</w:t>
            </w:r>
            <w:r w:rsidR="0045537A">
              <w:rPr>
                <w:sz w:val="22"/>
                <w:szCs w:val="22"/>
                <w:lang w:val="hr-HR"/>
              </w:rPr>
              <w:t>e</w:t>
            </w:r>
            <w:r w:rsidR="0045537A" w:rsidRPr="00B91FD8">
              <w:rPr>
                <w:sz w:val="22"/>
                <w:szCs w:val="22"/>
                <w:lang w:val="hr-HR"/>
              </w:rPr>
              <w:t xml:space="preserve"> koj</w:t>
            </w:r>
            <w:r w:rsidR="0045537A">
              <w:rPr>
                <w:sz w:val="22"/>
                <w:szCs w:val="22"/>
                <w:lang w:val="hr-HR"/>
              </w:rPr>
              <w:t>e</w:t>
            </w:r>
            <w:r w:rsidR="0045537A" w:rsidRPr="00B91FD8">
              <w:rPr>
                <w:sz w:val="22"/>
                <w:szCs w:val="22"/>
                <w:lang w:val="hr-HR"/>
              </w:rPr>
              <w:t xml:space="preserve"> </w:t>
            </w:r>
            <w:r w:rsidR="0045537A">
              <w:rPr>
                <w:sz w:val="22"/>
                <w:szCs w:val="22"/>
                <w:lang w:val="hr-HR"/>
              </w:rPr>
              <w:t>su</w:t>
            </w:r>
            <w:r w:rsidR="0045537A" w:rsidRPr="00B91FD8">
              <w:rPr>
                <w:sz w:val="22"/>
                <w:szCs w:val="22"/>
                <w:lang w:val="hr-HR"/>
              </w:rPr>
              <w:t xml:space="preserve"> uključen</w:t>
            </w:r>
            <w:r w:rsidR="0045537A">
              <w:rPr>
                <w:sz w:val="22"/>
                <w:szCs w:val="22"/>
                <w:lang w:val="hr-HR"/>
              </w:rPr>
              <w:t>e</w:t>
            </w:r>
            <w:r w:rsidR="0045537A" w:rsidRPr="00B91FD8">
              <w:rPr>
                <w:sz w:val="22"/>
                <w:szCs w:val="22"/>
                <w:lang w:val="hr-HR"/>
              </w:rPr>
              <w:t xml:space="preserve"> </w:t>
            </w:r>
            <w:r w:rsidRPr="00B91FD8">
              <w:rPr>
                <w:sz w:val="22"/>
                <w:szCs w:val="22"/>
                <w:lang w:val="hr-HR"/>
              </w:rPr>
              <w:t>u širi program energetske obnove zgrada, u skladu je s Dugoročnom strategijom obnove nacionalnog fonda zgrada do 2050. i Direktivom o energetskim svojstvima zgrada, što dovodi do znatnog poboljšanja energetske učinkovitosti.</w:t>
            </w:r>
          </w:p>
          <w:p w14:paraId="30E1402B" w14:textId="4B2312DA" w:rsidR="00C46EF0" w:rsidRPr="00C46EF0" w:rsidRDefault="00C46EF0" w:rsidP="00F8549A">
            <w:pPr>
              <w:jc w:val="both"/>
              <w:rPr>
                <w:b/>
                <w:bCs/>
                <w:noProof/>
                <w:sz w:val="22"/>
                <w:szCs w:val="22"/>
                <w:lang w:val="hr-HR"/>
              </w:rPr>
            </w:pPr>
            <w:r w:rsidRPr="00C46EF0">
              <w:rPr>
                <w:sz w:val="22"/>
                <w:szCs w:val="22"/>
                <w:lang w:val="hr-HR"/>
              </w:rPr>
              <w:t xml:space="preserve">U slučaju zamjene postojećih neučinkovitih sustava grijanja i kotlova (npr. na bazi ugljena ili loživog ulja ili standardnih postojećih plinskih kotlova/ bojlera) s visokoučinkovitim kondenzacijskim kotlovima na plin, </w:t>
            </w:r>
            <w:r w:rsidR="000C4B83" w:rsidRPr="00C46EF0">
              <w:rPr>
                <w:sz w:val="22"/>
                <w:szCs w:val="22"/>
                <w:lang w:val="hr-HR"/>
              </w:rPr>
              <w:t>zadovolj</w:t>
            </w:r>
            <w:r w:rsidR="000C4B83">
              <w:rPr>
                <w:sz w:val="22"/>
                <w:szCs w:val="22"/>
                <w:lang w:val="hr-HR"/>
              </w:rPr>
              <w:t>ava se</w:t>
            </w:r>
            <w:r w:rsidR="000C4B83" w:rsidRPr="00C46EF0">
              <w:rPr>
                <w:sz w:val="22"/>
                <w:szCs w:val="22"/>
                <w:lang w:val="hr-HR"/>
              </w:rPr>
              <w:t xml:space="preserve"> </w:t>
            </w:r>
            <w:r w:rsidRPr="00C46EF0">
              <w:rPr>
                <w:sz w:val="22"/>
                <w:szCs w:val="22"/>
                <w:lang w:val="hr-HR"/>
              </w:rPr>
              <w:t xml:space="preserve">uvjet da zamjena dovodi do znatnog smanjenja emisija stakleničkih plinova i znatnog unapređenja </w:t>
            </w:r>
            <w:r w:rsidRPr="00C46EF0">
              <w:rPr>
                <w:sz w:val="22"/>
                <w:szCs w:val="22"/>
                <w:lang w:val="hr-HR"/>
              </w:rPr>
              <w:lastRenderedPageBreak/>
              <w:t>okoliša (osobito zbog smanjenja onečišćenja) i javnog zdravlja, posebno na područjima na kojima su EU pragovi za kvalitetu zraka utvrđeni Direktivom 2008/50/EU premašeni ili bi mogli biti premašeni, npr. pri zamjeni sustava grijanja i kotlova na bazi ugljena ili loživog ulja, obzirom da su kondenzacijski bojleri barem 30 % energetski učinkovitiji te generiraju 30 % manje emisija od postojećih neučinkovitih sustava grijanja i kotlova koji će biti zamijenjeni u sklopu obnove. Potpora takvim bojlerima ne predstavlja više od 20 % ukupne vrijednosti radova.</w:t>
            </w:r>
          </w:p>
        </w:tc>
        <w:tc>
          <w:tcPr>
            <w:tcW w:w="3021" w:type="dxa"/>
          </w:tcPr>
          <w:p w14:paraId="4C678072" w14:textId="208296DE" w:rsidR="00C46EF0" w:rsidRPr="008D718A" w:rsidRDefault="008D718A" w:rsidP="008D718A">
            <w:pPr>
              <w:jc w:val="both"/>
              <w:rPr>
                <w:bCs/>
                <w:i/>
                <w:noProof/>
                <w:sz w:val="22"/>
                <w:szCs w:val="22"/>
                <w:lang w:val="hr-HR"/>
              </w:rPr>
            </w:pPr>
            <w:r w:rsidRPr="008D718A">
              <w:rPr>
                <w:bCs/>
                <w:i/>
                <w:noProof/>
                <w:sz w:val="22"/>
                <w:szCs w:val="22"/>
                <w:lang w:val="hr-HR"/>
              </w:rPr>
              <w:lastRenderedPageBreak/>
              <w:t>Obrazloženje – ispunjava Prijavitelj – pozvati se na dokumente i provedene procedure kojima se potvrđuje sukladnost projektnog prijedloga s navedenim načelima.</w:t>
            </w:r>
          </w:p>
        </w:tc>
      </w:tr>
      <w:tr w:rsidR="00C46EF0" w:rsidRPr="00C46EF0" w14:paraId="511E4E00" w14:textId="77777777" w:rsidTr="00C46EF0">
        <w:tc>
          <w:tcPr>
            <w:tcW w:w="3020" w:type="dxa"/>
          </w:tcPr>
          <w:p w14:paraId="4DB25C98" w14:textId="02FD84E3" w:rsidR="00C46EF0" w:rsidRPr="00C46EF0" w:rsidRDefault="00C46EF0" w:rsidP="00C46EF0">
            <w:pPr>
              <w:rPr>
                <w:b/>
                <w:bCs/>
                <w:noProof/>
                <w:sz w:val="22"/>
                <w:szCs w:val="22"/>
                <w:lang w:val="hr-HR"/>
              </w:rPr>
            </w:pPr>
            <w:r w:rsidRPr="00C46EF0">
              <w:rPr>
                <w:b/>
                <w:sz w:val="22"/>
                <w:szCs w:val="22"/>
                <w:lang w:val="hr-HR"/>
              </w:rPr>
              <w:t xml:space="preserve">Prilagođavanje </w:t>
            </w:r>
            <w:r w:rsidRPr="00C46EF0">
              <w:rPr>
                <w:b/>
                <w:spacing w:val="-1"/>
                <w:sz w:val="22"/>
                <w:szCs w:val="22"/>
                <w:lang w:val="hr-HR"/>
              </w:rPr>
              <w:t>klimatskim</w:t>
            </w:r>
            <w:r w:rsidRPr="00C46EF0">
              <w:rPr>
                <w:b/>
                <w:spacing w:val="-47"/>
                <w:sz w:val="22"/>
                <w:szCs w:val="22"/>
                <w:lang w:val="hr-HR"/>
              </w:rPr>
              <w:t xml:space="preserve"> </w:t>
            </w:r>
            <w:r w:rsidRPr="00C46EF0">
              <w:rPr>
                <w:b/>
                <w:sz w:val="22"/>
                <w:szCs w:val="22"/>
                <w:lang w:val="hr-HR"/>
              </w:rPr>
              <w:t>promjenama</w:t>
            </w:r>
          </w:p>
        </w:tc>
        <w:tc>
          <w:tcPr>
            <w:tcW w:w="3021" w:type="dxa"/>
          </w:tcPr>
          <w:p w14:paraId="4E971719" w14:textId="561301C0" w:rsidR="00C46EF0" w:rsidRPr="00C46EF0" w:rsidRDefault="00C46EF0" w:rsidP="00F8549A">
            <w:pPr>
              <w:jc w:val="both"/>
              <w:rPr>
                <w:b/>
                <w:bCs/>
                <w:noProof/>
                <w:sz w:val="22"/>
                <w:szCs w:val="22"/>
                <w:lang w:val="hr-HR"/>
              </w:rPr>
            </w:pPr>
            <w:r w:rsidRPr="00C46EF0">
              <w:rPr>
                <w:sz w:val="22"/>
                <w:szCs w:val="22"/>
                <w:lang w:val="hr-HR"/>
              </w:rPr>
              <w:t>Klimatski rizici koji bi mogli biti relevantni za svako ulaganje u okviru ove mjere identificirani su u nacionalnoj Strategiji prilagodbe klimatskim promjenama u Republici Hrvatskoj za razdoblje do 2040. godine s pogledom na 2070. godinu.</w:t>
            </w:r>
            <w:r w:rsidR="000823C1" w:rsidRPr="009251CA">
              <w:rPr>
                <w:noProof/>
                <w:sz w:val="24"/>
                <w:szCs w:val="24"/>
                <w:lang w:val="hr-HR"/>
              </w:rPr>
              <w:t xml:space="preserve"> </w:t>
            </w:r>
            <w:r w:rsidR="000823C1" w:rsidRPr="00A4028A">
              <w:rPr>
                <w:sz w:val="22"/>
                <w:szCs w:val="22"/>
              </w:rPr>
              <w:t xml:space="preserve">U </w:t>
            </w:r>
            <w:r w:rsidR="00027BA9">
              <w:rPr>
                <w:sz w:val="22"/>
                <w:szCs w:val="22"/>
                <w:lang w:val="hr-HR"/>
              </w:rPr>
              <w:t xml:space="preserve">cjelovito i energetski </w:t>
            </w:r>
            <w:r w:rsidR="000823C1" w:rsidRPr="00A4028A">
              <w:rPr>
                <w:sz w:val="22"/>
                <w:szCs w:val="22"/>
              </w:rPr>
              <w:t xml:space="preserve">obnovljenim zgradama </w:t>
            </w:r>
            <w:r w:rsidR="00762BFD" w:rsidRPr="00A4028A">
              <w:rPr>
                <w:sz w:val="22"/>
                <w:szCs w:val="22"/>
              </w:rPr>
              <w:t xml:space="preserve">sa statusom kulturnog dobra </w:t>
            </w:r>
            <w:r w:rsidR="000823C1" w:rsidRPr="00A4028A">
              <w:rPr>
                <w:sz w:val="22"/>
                <w:szCs w:val="22"/>
              </w:rPr>
              <w:t>poboljšat će se toplinska ugodnost te se obnovom neće povećati štetni učinak trenutačne ili očekivane buduće klime na korisnike zgrada.</w:t>
            </w:r>
          </w:p>
        </w:tc>
        <w:tc>
          <w:tcPr>
            <w:tcW w:w="3021" w:type="dxa"/>
          </w:tcPr>
          <w:p w14:paraId="155DF8CB" w14:textId="284A6ABF" w:rsidR="00C46EF0" w:rsidRPr="00C46EF0" w:rsidRDefault="008D718A" w:rsidP="00C46EF0">
            <w:pPr>
              <w:rPr>
                <w:b/>
                <w:bCs/>
                <w:noProof/>
                <w:sz w:val="22"/>
                <w:szCs w:val="22"/>
                <w:lang w:val="hr-HR"/>
              </w:rPr>
            </w:pPr>
            <w:r w:rsidRPr="008D718A">
              <w:rPr>
                <w:bCs/>
                <w:i/>
                <w:noProof/>
                <w:sz w:val="22"/>
                <w:szCs w:val="22"/>
                <w:lang w:val="hr-HR"/>
              </w:rPr>
              <w:t>Obrazloženje – ispunjava Prijavitelj – pozvati se na dokumente i provedene procedure kojima se potvrđuje sukladnost projektnog prijedloga s navedenim načelima.</w:t>
            </w:r>
          </w:p>
        </w:tc>
      </w:tr>
      <w:tr w:rsidR="00C46EF0" w:rsidRPr="00C46EF0" w14:paraId="3CD71368" w14:textId="77777777" w:rsidTr="000A5C77">
        <w:tc>
          <w:tcPr>
            <w:tcW w:w="3020" w:type="dxa"/>
            <w:shd w:val="clear" w:color="auto" w:fill="auto"/>
          </w:tcPr>
          <w:p w14:paraId="12A33011" w14:textId="6975327E" w:rsidR="00C46EF0" w:rsidRPr="00C46EF0" w:rsidRDefault="00C46EF0" w:rsidP="00C46EF0">
            <w:pPr>
              <w:rPr>
                <w:b/>
                <w:bCs/>
                <w:noProof/>
                <w:sz w:val="22"/>
                <w:szCs w:val="22"/>
                <w:lang w:val="hr-HR"/>
              </w:rPr>
            </w:pPr>
            <w:r w:rsidRPr="00C46EF0">
              <w:rPr>
                <w:b/>
                <w:sz w:val="22"/>
                <w:szCs w:val="22"/>
                <w:lang w:val="hr-HR"/>
              </w:rPr>
              <w:t>Održiva</w:t>
            </w:r>
            <w:r w:rsidRPr="00C46EF0">
              <w:rPr>
                <w:b/>
                <w:spacing w:val="-9"/>
                <w:sz w:val="22"/>
                <w:szCs w:val="22"/>
                <w:lang w:val="hr-HR"/>
              </w:rPr>
              <w:t xml:space="preserve"> </w:t>
            </w:r>
            <w:r w:rsidRPr="00C46EF0">
              <w:rPr>
                <w:b/>
                <w:sz w:val="22"/>
                <w:szCs w:val="22"/>
                <w:lang w:val="hr-HR"/>
              </w:rPr>
              <w:t>uporaba</w:t>
            </w:r>
            <w:r w:rsidRPr="00C46EF0">
              <w:rPr>
                <w:b/>
                <w:spacing w:val="-9"/>
                <w:sz w:val="22"/>
                <w:szCs w:val="22"/>
                <w:lang w:val="hr-HR"/>
              </w:rPr>
              <w:t xml:space="preserve"> </w:t>
            </w:r>
            <w:r w:rsidRPr="00C46EF0">
              <w:rPr>
                <w:b/>
                <w:sz w:val="22"/>
                <w:szCs w:val="22"/>
                <w:lang w:val="hr-HR"/>
              </w:rPr>
              <w:t>i</w:t>
            </w:r>
            <w:r w:rsidRPr="00C46EF0">
              <w:rPr>
                <w:b/>
                <w:spacing w:val="-8"/>
                <w:sz w:val="22"/>
                <w:szCs w:val="22"/>
                <w:lang w:val="hr-HR"/>
              </w:rPr>
              <w:t xml:space="preserve"> </w:t>
            </w:r>
            <w:r w:rsidRPr="00C46EF0">
              <w:rPr>
                <w:b/>
                <w:sz w:val="22"/>
                <w:szCs w:val="22"/>
                <w:lang w:val="hr-HR"/>
              </w:rPr>
              <w:t>zaštita</w:t>
            </w:r>
            <w:r w:rsidRPr="00C46EF0">
              <w:rPr>
                <w:b/>
                <w:spacing w:val="-9"/>
                <w:sz w:val="22"/>
                <w:szCs w:val="22"/>
                <w:lang w:val="hr-HR"/>
              </w:rPr>
              <w:t xml:space="preserve"> </w:t>
            </w:r>
            <w:r w:rsidRPr="00C46EF0">
              <w:rPr>
                <w:b/>
                <w:sz w:val="22"/>
                <w:szCs w:val="22"/>
                <w:lang w:val="hr-HR"/>
              </w:rPr>
              <w:t>voda</w:t>
            </w:r>
            <w:r w:rsidRPr="00C46EF0">
              <w:rPr>
                <w:b/>
                <w:spacing w:val="-47"/>
                <w:sz w:val="22"/>
                <w:szCs w:val="22"/>
                <w:lang w:val="hr-HR"/>
              </w:rPr>
              <w:t xml:space="preserve"> </w:t>
            </w:r>
            <w:r w:rsidRPr="00C46EF0">
              <w:rPr>
                <w:b/>
                <w:sz w:val="22"/>
                <w:szCs w:val="22"/>
                <w:lang w:val="hr-HR"/>
              </w:rPr>
              <w:t>i</w:t>
            </w:r>
            <w:r w:rsidRPr="00C46EF0">
              <w:rPr>
                <w:b/>
                <w:spacing w:val="-2"/>
                <w:sz w:val="22"/>
                <w:szCs w:val="22"/>
                <w:lang w:val="hr-HR"/>
              </w:rPr>
              <w:t xml:space="preserve"> </w:t>
            </w:r>
            <w:r w:rsidRPr="00C46EF0">
              <w:rPr>
                <w:b/>
                <w:sz w:val="22"/>
                <w:szCs w:val="22"/>
                <w:lang w:val="hr-HR"/>
              </w:rPr>
              <w:t>morskih resursa</w:t>
            </w:r>
          </w:p>
        </w:tc>
        <w:tc>
          <w:tcPr>
            <w:tcW w:w="3021" w:type="dxa"/>
            <w:shd w:val="clear" w:color="auto" w:fill="auto"/>
          </w:tcPr>
          <w:p w14:paraId="29953587" w14:textId="5880131B" w:rsidR="00B426F0" w:rsidRPr="00A4028A" w:rsidRDefault="00B426F0" w:rsidP="00B426F0">
            <w:pPr>
              <w:pStyle w:val="Normal1"/>
              <w:spacing w:before="0" w:after="0" w:line="276" w:lineRule="auto"/>
              <w:rPr>
                <w:rFonts w:ascii="Times New Roman" w:eastAsia="Times New Roman" w:hAnsi="Times New Roman"/>
                <w:sz w:val="22"/>
                <w:szCs w:val="22"/>
                <w:lang w:val="hr-HR" w:eastAsia="en-US"/>
              </w:rPr>
            </w:pPr>
            <w:r w:rsidRPr="00A4028A">
              <w:rPr>
                <w:rFonts w:ascii="Times New Roman" w:eastAsia="Times New Roman" w:hAnsi="Times New Roman"/>
                <w:sz w:val="22"/>
                <w:szCs w:val="22"/>
                <w:lang w:val="hr-HR" w:eastAsia="en-US"/>
              </w:rPr>
              <w:t xml:space="preserve">Predmet cjelovite i energetske obnove </w:t>
            </w:r>
            <w:r w:rsidR="00461459" w:rsidRPr="00A4028A">
              <w:rPr>
                <w:rFonts w:ascii="Times New Roman" w:eastAsia="Times New Roman" w:hAnsi="Times New Roman"/>
                <w:sz w:val="22"/>
                <w:szCs w:val="22"/>
                <w:lang w:val="hr-HR" w:eastAsia="en-US"/>
              </w:rPr>
              <w:t xml:space="preserve">su postojeće </w:t>
            </w:r>
            <w:r w:rsidRPr="00A4028A">
              <w:rPr>
                <w:rFonts w:ascii="Times New Roman" w:eastAsia="Times New Roman" w:hAnsi="Times New Roman"/>
                <w:sz w:val="22"/>
                <w:szCs w:val="22"/>
                <w:lang w:val="hr-HR" w:eastAsia="en-US"/>
              </w:rPr>
              <w:t>zgrad</w:t>
            </w:r>
            <w:r w:rsidR="00461459" w:rsidRPr="00A4028A">
              <w:rPr>
                <w:rFonts w:ascii="Times New Roman" w:eastAsia="Times New Roman" w:hAnsi="Times New Roman"/>
                <w:sz w:val="22"/>
                <w:szCs w:val="22"/>
                <w:lang w:val="hr-HR" w:eastAsia="en-US"/>
              </w:rPr>
              <w:t>e</w:t>
            </w:r>
            <w:r w:rsidRPr="00A4028A">
              <w:rPr>
                <w:rFonts w:ascii="Times New Roman" w:eastAsia="Times New Roman" w:hAnsi="Times New Roman"/>
                <w:sz w:val="22"/>
                <w:szCs w:val="22"/>
                <w:lang w:val="hr-HR" w:eastAsia="en-US"/>
              </w:rPr>
              <w:t xml:space="preserve"> sa statusom kulturnog dobra priključene na komunalnu infrastrukturu vodovoda i odvodnje otpadnih voda. U okviru ovog Poziva sufinanciraju se mjere unaprjeđenja sustava za smanjenje potrošnje vode (ugradnja perlatora na slavine, ugradnja vodokotlića s manjom potrošnjom vode, sustav skupljanja i korištenja oborinske vode).</w:t>
            </w:r>
          </w:p>
          <w:p w14:paraId="501EEAB5" w14:textId="1B9714A8" w:rsidR="00C46EF0" w:rsidRPr="00C46EF0" w:rsidRDefault="00C46EF0" w:rsidP="00F8549A">
            <w:pPr>
              <w:pStyle w:val="NoSpacing"/>
              <w:jc w:val="both"/>
              <w:rPr>
                <w:sz w:val="22"/>
                <w:szCs w:val="22"/>
                <w:lang w:val="hr-HR"/>
              </w:rPr>
            </w:pPr>
            <w:r w:rsidRPr="00C46EF0">
              <w:rPr>
                <w:sz w:val="22"/>
                <w:szCs w:val="22"/>
                <w:lang w:val="hr-HR"/>
              </w:rPr>
              <w:lastRenderedPageBreak/>
              <w:t xml:space="preserve">Kriteriji za ugovaranje novih uređaja za vodu koji se ugrađuju u </w:t>
            </w:r>
            <w:r w:rsidR="00762BFD" w:rsidRPr="00A4028A">
              <w:rPr>
                <w:sz w:val="22"/>
                <w:szCs w:val="22"/>
              </w:rPr>
              <w:t xml:space="preserve">zgrade sa statusom kulturnog dobra </w:t>
            </w:r>
            <w:r w:rsidRPr="00C46EF0">
              <w:rPr>
                <w:sz w:val="22"/>
                <w:szCs w:val="22"/>
                <w:lang w:val="hr-HR"/>
              </w:rPr>
              <w:t>u skladu</w:t>
            </w:r>
            <w:r w:rsidR="00027BA9">
              <w:rPr>
                <w:sz w:val="22"/>
                <w:szCs w:val="22"/>
                <w:lang w:val="hr-HR"/>
              </w:rPr>
              <w:t xml:space="preserve"> su</w:t>
            </w:r>
            <w:r w:rsidRPr="00C46EF0">
              <w:rPr>
                <w:sz w:val="22"/>
                <w:szCs w:val="22"/>
                <w:lang w:val="hr-HR"/>
              </w:rPr>
              <w:t xml:space="preserve"> s utvrđenim razinama uštede vode s načelima DNSH.</w:t>
            </w:r>
          </w:p>
          <w:p w14:paraId="1977BC64" w14:textId="38E105BE" w:rsidR="00C46EF0" w:rsidRPr="00C46EF0" w:rsidRDefault="00C46EF0" w:rsidP="00F8549A">
            <w:pPr>
              <w:jc w:val="both"/>
              <w:rPr>
                <w:b/>
                <w:bCs/>
                <w:noProof/>
                <w:sz w:val="22"/>
                <w:szCs w:val="22"/>
                <w:lang w:val="hr-HR"/>
              </w:rPr>
            </w:pPr>
            <w:r w:rsidRPr="00C46EF0">
              <w:rPr>
                <w:sz w:val="22"/>
                <w:szCs w:val="22"/>
                <w:lang w:val="hr-HR"/>
              </w:rPr>
              <w:t xml:space="preserve">U kontekstu uštede vode za </w:t>
            </w:r>
            <w:r w:rsidR="004F28A8">
              <w:rPr>
                <w:sz w:val="22"/>
                <w:szCs w:val="22"/>
                <w:lang w:val="hr-HR"/>
              </w:rPr>
              <w:t xml:space="preserve"> predmetne zgrade</w:t>
            </w:r>
            <w:r w:rsidRPr="00C46EF0">
              <w:rPr>
                <w:sz w:val="22"/>
                <w:szCs w:val="22"/>
                <w:lang w:val="hr-HR"/>
              </w:rPr>
              <w:t xml:space="preserve">, </w:t>
            </w:r>
            <w:r w:rsidR="00027BA9">
              <w:rPr>
                <w:sz w:val="22"/>
                <w:szCs w:val="22"/>
                <w:lang w:val="hr-HR"/>
              </w:rPr>
              <w:t>ugrađuju se</w:t>
            </w:r>
            <w:r w:rsidRPr="00C46EF0">
              <w:rPr>
                <w:sz w:val="22"/>
                <w:szCs w:val="22"/>
                <w:lang w:val="hr-HR"/>
              </w:rPr>
              <w:t xml:space="preserve"> uređaji za vodu koji su u skladu sa: a) slavine za umivaonike i kuhinjske slavine imaju maksimalan protok vode od 6 litara / min; (b) tuševi imaju maksimalni protok vode od 8 litara / min; (c) WC-i, uključujući apartmane, posude i cisterne, imaju puni volumen ispiranja od najviše 6 litara i maksimalni prosječni volumen ispiranja od 3,5 litara; (d) pisoari koriste najviše 2 litre / zdjelu / sat. Pisoari za ispiranje imaju maksimalni puni volumen ispiranja od 1 litre.</w:t>
            </w:r>
          </w:p>
        </w:tc>
        <w:tc>
          <w:tcPr>
            <w:tcW w:w="3021" w:type="dxa"/>
          </w:tcPr>
          <w:p w14:paraId="2183155B" w14:textId="49EDDE01" w:rsidR="00C46EF0" w:rsidRPr="00C46EF0" w:rsidRDefault="008D718A" w:rsidP="00C46EF0">
            <w:pPr>
              <w:rPr>
                <w:b/>
                <w:bCs/>
                <w:noProof/>
                <w:sz w:val="22"/>
                <w:szCs w:val="22"/>
                <w:lang w:val="hr-HR"/>
              </w:rPr>
            </w:pPr>
            <w:r w:rsidRPr="008D718A">
              <w:rPr>
                <w:bCs/>
                <w:i/>
                <w:noProof/>
                <w:sz w:val="22"/>
                <w:szCs w:val="22"/>
                <w:lang w:val="hr-HR"/>
              </w:rPr>
              <w:lastRenderedPageBreak/>
              <w:t>Obrazloženje – ispunjava Prijavitelj – pozvati se na dokumente i provedene procedure kojima se potvrđuje sukladnost projektnog prijedloga s navedenim načelima.</w:t>
            </w:r>
          </w:p>
        </w:tc>
      </w:tr>
      <w:tr w:rsidR="00C46EF0" w:rsidRPr="00C46EF0" w14:paraId="78C579CF" w14:textId="77777777" w:rsidTr="000A5C77">
        <w:tc>
          <w:tcPr>
            <w:tcW w:w="3020" w:type="dxa"/>
            <w:shd w:val="clear" w:color="auto" w:fill="auto"/>
          </w:tcPr>
          <w:p w14:paraId="22106456" w14:textId="51D35F05" w:rsidR="00C46EF0" w:rsidRPr="00C46EF0" w:rsidRDefault="00C46EF0" w:rsidP="00C46EF0">
            <w:pPr>
              <w:rPr>
                <w:b/>
                <w:bCs/>
                <w:noProof/>
                <w:sz w:val="22"/>
                <w:szCs w:val="22"/>
                <w:lang w:val="hr-HR"/>
              </w:rPr>
            </w:pPr>
            <w:r w:rsidRPr="00C46EF0">
              <w:rPr>
                <w:b/>
                <w:sz w:val="22"/>
                <w:szCs w:val="22"/>
                <w:lang w:val="hr-HR"/>
              </w:rPr>
              <w:t xml:space="preserve">Kružno </w:t>
            </w:r>
            <w:r w:rsidRPr="00C46EF0">
              <w:rPr>
                <w:b/>
                <w:spacing w:val="-1"/>
                <w:sz w:val="22"/>
                <w:szCs w:val="22"/>
                <w:lang w:val="hr-HR"/>
              </w:rPr>
              <w:t>gospodarstvo,</w:t>
            </w:r>
            <w:r w:rsidRPr="00C46EF0">
              <w:rPr>
                <w:b/>
                <w:spacing w:val="-48"/>
                <w:sz w:val="22"/>
                <w:szCs w:val="22"/>
                <w:lang w:val="hr-HR"/>
              </w:rPr>
              <w:t xml:space="preserve"> </w:t>
            </w:r>
            <w:r w:rsidRPr="00C46EF0">
              <w:rPr>
                <w:b/>
                <w:sz w:val="22"/>
                <w:szCs w:val="22"/>
                <w:lang w:val="hr-HR"/>
              </w:rPr>
              <w:t>uključujući prevenciju otpada</w:t>
            </w:r>
            <w:r w:rsidRPr="00C46EF0">
              <w:rPr>
                <w:b/>
                <w:spacing w:val="-47"/>
                <w:sz w:val="22"/>
                <w:szCs w:val="22"/>
                <w:lang w:val="hr-HR"/>
              </w:rPr>
              <w:t xml:space="preserve"> </w:t>
            </w:r>
            <w:r w:rsidR="00D02EAD">
              <w:rPr>
                <w:b/>
                <w:spacing w:val="-47"/>
                <w:sz w:val="22"/>
                <w:szCs w:val="22"/>
                <w:lang w:val="hr-HR"/>
              </w:rPr>
              <w:t xml:space="preserve"> </w:t>
            </w:r>
            <w:r w:rsidRPr="00C46EF0">
              <w:rPr>
                <w:b/>
                <w:sz w:val="22"/>
                <w:szCs w:val="22"/>
                <w:lang w:val="hr-HR"/>
              </w:rPr>
              <w:t>i</w:t>
            </w:r>
            <w:r w:rsidRPr="00C46EF0">
              <w:rPr>
                <w:b/>
                <w:spacing w:val="-2"/>
                <w:sz w:val="22"/>
                <w:szCs w:val="22"/>
                <w:lang w:val="hr-HR"/>
              </w:rPr>
              <w:t xml:space="preserve"> </w:t>
            </w:r>
            <w:r w:rsidRPr="00C46EF0">
              <w:rPr>
                <w:b/>
                <w:sz w:val="22"/>
                <w:szCs w:val="22"/>
                <w:lang w:val="hr-HR"/>
              </w:rPr>
              <w:t>recikliranje</w:t>
            </w:r>
          </w:p>
        </w:tc>
        <w:tc>
          <w:tcPr>
            <w:tcW w:w="3021" w:type="dxa"/>
            <w:shd w:val="clear" w:color="auto" w:fill="auto"/>
          </w:tcPr>
          <w:p w14:paraId="706A4BB4" w14:textId="77777777" w:rsidR="00E026F1" w:rsidRDefault="00C46EF0" w:rsidP="00D02EAD">
            <w:pPr>
              <w:jc w:val="both"/>
              <w:rPr>
                <w:sz w:val="22"/>
                <w:szCs w:val="22"/>
                <w:lang w:val="hr-HR"/>
              </w:rPr>
            </w:pPr>
            <w:r w:rsidRPr="00C46EF0">
              <w:rPr>
                <w:sz w:val="22"/>
                <w:szCs w:val="22"/>
                <w:lang w:val="hr-HR"/>
              </w:rPr>
              <w:t>Gospodarski subjekti koji provode obnovu ograničavaju stvaranje otpada u procesima koji se odnose na izgradnju i rušenje u skladu s EU Protokolom o gospodarenju otpadom od gradnje i rušenja i uzimajući u obzir najbolje dostupne tehnike i korištenje selektivnog rušenja kako bi se omogućilo uklanjanje i sigurno rukovanje opasnih tvari i olakšavaju ponovnu upotrebu i visokokvalitetnu reciklažu selektivnim uklanjanjem materijala, koristeći dostupne sustave za sortiranje građevinskog otpada i otpada od rušenja. Građevinski projekti i građevinske tehnike podržavaju kružnost i posebno demonstriraju, pozivajući se na ISO 20887 ili drugi standardi za procjenu rastavljivosti ili prilagodljivosti zgrada, kako oni su dizajnirani da budu učinkovitiji u pogledu resursa, prilagodljivi, fleksibilni i rastavljivi kako bi omogućili ponovnu upotrebu i recikliranje.</w:t>
            </w:r>
          </w:p>
          <w:p w14:paraId="12043481" w14:textId="248C1BB6" w:rsidR="00E026F1" w:rsidRPr="00E026F1" w:rsidRDefault="00A21798" w:rsidP="00E026F1">
            <w:pPr>
              <w:jc w:val="both"/>
              <w:rPr>
                <w:sz w:val="22"/>
                <w:szCs w:val="22"/>
                <w:lang w:val="hr-HR"/>
              </w:rPr>
            </w:pPr>
            <w:r w:rsidRPr="00A4028A">
              <w:rPr>
                <w:sz w:val="22"/>
                <w:szCs w:val="22"/>
              </w:rPr>
              <w:lastRenderedPageBreak/>
              <w:t xml:space="preserve">Sukladno Zakonu o gradnji (NN 153/13, 20/17, 39/19, 125/19) izvođač </w:t>
            </w:r>
            <w:r w:rsidR="001D53E3">
              <w:rPr>
                <w:sz w:val="22"/>
                <w:szCs w:val="22"/>
                <w:lang w:val="hr-HR"/>
              </w:rPr>
              <w:t xml:space="preserve">sukladno dužnosti </w:t>
            </w:r>
            <w:r w:rsidRPr="00A4028A">
              <w:rPr>
                <w:sz w:val="22"/>
                <w:szCs w:val="22"/>
              </w:rPr>
              <w:t xml:space="preserve">gospodari građevnim otpadom nastalim tijekom građenja na gradilištu prema propisima koji uređuju gospodarenje otpadom te oporabi i/ili </w:t>
            </w:r>
            <w:r w:rsidR="001D53E3" w:rsidRPr="00A4028A">
              <w:rPr>
                <w:sz w:val="22"/>
                <w:szCs w:val="22"/>
              </w:rPr>
              <w:t>zbrin</w:t>
            </w:r>
            <w:r w:rsidR="001D53E3">
              <w:rPr>
                <w:sz w:val="22"/>
                <w:szCs w:val="22"/>
                <w:lang w:val="hr-HR"/>
              </w:rPr>
              <w:t>java</w:t>
            </w:r>
            <w:r w:rsidR="001D53E3" w:rsidRPr="00A4028A">
              <w:rPr>
                <w:sz w:val="22"/>
                <w:szCs w:val="22"/>
              </w:rPr>
              <w:t xml:space="preserve"> </w:t>
            </w:r>
            <w:r w:rsidRPr="00A4028A">
              <w:rPr>
                <w:sz w:val="22"/>
                <w:szCs w:val="22"/>
              </w:rPr>
              <w:t>građevni otpad nastao tijekom građenja na gradilištu prema propisima koji uređuju gospodarenje otpadom. Zakonom o gospodarenju otpadom (NN 84/21) propisuje se da građevni otpad i otpad koji sadrži azbest spadaju u posebne kategorije otpada za koje se pravilnikom propisuju posebni uvjeti gospodarenja. Pravilnikom o građevnom otpadu i otpadu koji sadrži azbest (NN 69/16) propisani su uvjeti gospodarenja građevnim otpadom i način obveznog postupanja vlasnika i posjednika građevnog otpada. Također, Pravilnikom je propisano kako je zabranjeno opasni građevni otpad odbaciti u miješani komunalni otpad i miješati s drugom vrstom otpada ili tvarima uključujući i građevne proizvode ili materijalima koje nemaju status otpada, osim na način određen dozvolom za gospodarenje otpadom.</w:t>
            </w:r>
          </w:p>
          <w:p w14:paraId="69E5EBC4" w14:textId="1482D9D2" w:rsidR="00C46EF0" w:rsidRPr="00894804" w:rsidRDefault="00D02EAD" w:rsidP="00E026F1">
            <w:pPr>
              <w:jc w:val="both"/>
              <w:rPr>
                <w:lang w:val="hr-HR"/>
              </w:rPr>
            </w:pPr>
            <w:r>
              <w:rPr>
                <w:sz w:val="22"/>
                <w:szCs w:val="22"/>
                <w:lang w:val="hr-HR"/>
              </w:rPr>
              <w:t xml:space="preserve"> </w:t>
            </w:r>
          </w:p>
        </w:tc>
        <w:tc>
          <w:tcPr>
            <w:tcW w:w="3021" w:type="dxa"/>
          </w:tcPr>
          <w:p w14:paraId="3492A4B5" w14:textId="456AA42E" w:rsidR="00C46EF0" w:rsidRPr="00C46EF0" w:rsidRDefault="008D718A" w:rsidP="00C46EF0">
            <w:pPr>
              <w:rPr>
                <w:b/>
                <w:bCs/>
                <w:noProof/>
                <w:sz w:val="22"/>
                <w:szCs w:val="22"/>
                <w:lang w:val="hr-HR"/>
              </w:rPr>
            </w:pPr>
            <w:r w:rsidRPr="008D718A">
              <w:rPr>
                <w:bCs/>
                <w:i/>
                <w:noProof/>
                <w:sz w:val="22"/>
                <w:szCs w:val="22"/>
                <w:lang w:val="hr-HR"/>
              </w:rPr>
              <w:lastRenderedPageBreak/>
              <w:t>Obrazloženje – ispunjava Prijavitelj – pozvati se na dokumente i provedene procedure kojima se potvrđuje sukladnost projektnog prijedloga s navedenim načelima.</w:t>
            </w:r>
          </w:p>
        </w:tc>
      </w:tr>
      <w:tr w:rsidR="00C46EF0" w:rsidRPr="00C46EF0" w14:paraId="7B43CA28" w14:textId="77777777" w:rsidTr="000A5C77">
        <w:tc>
          <w:tcPr>
            <w:tcW w:w="3020" w:type="dxa"/>
            <w:shd w:val="clear" w:color="auto" w:fill="auto"/>
          </w:tcPr>
          <w:p w14:paraId="4ADEF408" w14:textId="74C923F6" w:rsidR="00C46EF0" w:rsidRPr="00C46EF0" w:rsidRDefault="00C46EF0" w:rsidP="00C46EF0">
            <w:pPr>
              <w:rPr>
                <w:b/>
                <w:bCs/>
                <w:noProof/>
                <w:sz w:val="22"/>
                <w:szCs w:val="22"/>
                <w:lang w:val="hr-HR"/>
              </w:rPr>
            </w:pPr>
            <w:r w:rsidRPr="00C46EF0">
              <w:rPr>
                <w:b/>
                <w:sz w:val="22"/>
                <w:szCs w:val="22"/>
                <w:lang w:val="hr-HR"/>
              </w:rPr>
              <w:t xml:space="preserve">Prevencija onečišćenja </w:t>
            </w:r>
            <w:r w:rsidRPr="00C46EF0">
              <w:rPr>
                <w:b/>
                <w:spacing w:val="-5"/>
                <w:sz w:val="22"/>
                <w:szCs w:val="22"/>
                <w:lang w:val="hr-HR"/>
              </w:rPr>
              <w:t>i</w:t>
            </w:r>
            <w:r w:rsidRPr="00C46EF0">
              <w:rPr>
                <w:b/>
                <w:spacing w:val="-47"/>
                <w:sz w:val="22"/>
                <w:szCs w:val="22"/>
                <w:lang w:val="hr-HR"/>
              </w:rPr>
              <w:t xml:space="preserve"> </w:t>
            </w:r>
            <w:r w:rsidRPr="00C46EF0">
              <w:rPr>
                <w:b/>
                <w:sz w:val="22"/>
                <w:szCs w:val="22"/>
                <w:lang w:val="hr-HR"/>
              </w:rPr>
              <w:t>kontrola</w:t>
            </w:r>
            <w:r w:rsidRPr="00C46EF0">
              <w:rPr>
                <w:b/>
                <w:spacing w:val="-2"/>
                <w:sz w:val="22"/>
                <w:szCs w:val="22"/>
                <w:lang w:val="hr-HR"/>
              </w:rPr>
              <w:t xml:space="preserve"> </w:t>
            </w:r>
            <w:r w:rsidRPr="00C46EF0">
              <w:rPr>
                <w:b/>
                <w:sz w:val="22"/>
                <w:szCs w:val="22"/>
                <w:lang w:val="hr-HR"/>
              </w:rPr>
              <w:t>zraka,</w:t>
            </w:r>
            <w:r w:rsidRPr="00C46EF0">
              <w:rPr>
                <w:b/>
                <w:spacing w:val="-1"/>
                <w:sz w:val="22"/>
                <w:szCs w:val="22"/>
                <w:lang w:val="hr-HR"/>
              </w:rPr>
              <w:t xml:space="preserve"> </w:t>
            </w:r>
            <w:r w:rsidRPr="00C46EF0">
              <w:rPr>
                <w:b/>
                <w:sz w:val="22"/>
                <w:szCs w:val="22"/>
                <w:lang w:val="hr-HR"/>
              </w:rPr>
              <w:t>vode</w:t>
            </w:r>
            <w:r w:rsidRPr="00C46EF0">
              <w:rPr>
                <w:b/>
                <w:spacing w:val="1"/>
                <w:sz w:val="22"/>
                <w:szCs w:val="22"/>
                <w:lang w:val="hr-HR"/>
              </w:rPr>
              <w:t xml:space="preserve"> </w:t>
            </w:r>
            <w:r w:rsidRPr="00C46EF0">
              <w:rPr>
                <w:b/>
                <w:sz w:val="22"/>
                <w:szCs w:val="22"/>
                <w:lang w:val="hr-HR"/>
              </w:rPr>
              <w:t>ili</w:t>
            </w:r>
            <w:r w:rsidRPr="00C46EF0">
              <w:rPr>
                <w:b/>
                <w:spacing w:val="-2"/>
                <w:sz w:val="22"/>
                <w:szCs w:val="22"/>
                <w:lang w:val="hr-HR"/>
              </w:rPr>
              <w:t xml:space="preserve"> </w:t>
            </w:r>
            <w:r w:rsidRPr="00C46EF0">
              <w:rPr>
                <w:b/>
                <w:sz w:val="22"/>
                <w:szCs w:val="22"/>
                <w:lang w:val="hr-HR"/>
              </w:rPr>
              <w:t>tla</w:t>
            </w:r>
          </w:p>
        </w:tc>
        <w:tc>
          <w:tcPr>
            <w:tcW w:w="3021" w:type="dxa"/>
            <w:shd w:val="clear" w:color="auto" w:fill="auto"/>
          </w:tcPr>
          <w:p w14:paraId="637598FD" w14:textId="77777777" w:rsidR="00C46EF0" w:rsidRPr="00C46EF0" w:rsidRDefault="00C46EF0" w:rsidP="00F8549A">
            <w:pPr>
              <w:pStyle w:val="NoSpacing"/>
              <w:jc w:val="both"/>
              <w:rPr>
                <w:sz w:val="22"/>
                <w:szCs w:val="22"/>
                <w:lang w:val="hr-HR"/>
              </w:rPr>
            </w:pPr>
            <w:r w:rsidRPr="00C46EF0">
              <w:rPr>
                <w:sz w:val="22"/>
                <w:szCs w:val="22"/>
                <w:lang w:val="hr-HR"/>
              </w:rPr>
              <w:t xml:space="preserve">Očekuje se da mjera neće dovesti do značajnog povećanja emisija onečišćujućih tvari u zrak, vodu ili zemlju, jer: </w:t>
            </w:r>
          </w:p>
          <w:p w14:paraId="317B0F3B" w14:textId="2E0FD961" w:rsidR="00C46EF0" w:rsidRPr="00C46EF0" w:rsidRDefault="00C46EF0" w:rsidP="00F8549A">
            <w:pPr>
              <w:pStyle w:val="NoSpacing"/>
              <w:jc w:val="both"/>
              <w:rPr>
                <w:sz w:val="22"/>
                <w:szCs w:val="22"/>
                <w:lang w:val="hr-HR"/>
              </w:rPr>
            </w:pPr>
            <w:r w:rsidRPr="00C46EF0">
              <w:rPr>
                <w:sz w:val="22"/>
                <w:szCs w:val="22"/>
                <w:lang w:val="hr-HR"/>
              </w:rPr>
              <w:t xml:space="preserve">- </w:t>
            </w:r>
            <w:r w:rsidR="00F906CC" w:rsidRPr="00A4028A">
              <w:rPr>
                <w:sz w:val="22"/>
                <w:szCs w:val="22"/>
              </w:rPr>
              <w:t>Operatori koji provode cjelovitu i energetsku obnovu zgrade osiguravaju</w:t>
            </w:r>
            <w:r w:rsidR="00F906CC">
              <w:rPr>
                <w:noProof/>
                <w:sz w:val="24"/>
                <w:szCs w:val="24"/>
              </w:rPr>
              <w:t xml:space="preserve"> </w:t>
            </w:r>
            <w:r w:rsidRPr="00C46EF0">
              <w:rPr>
                <w:sz w:val="22"/>
                <w:szCs w:val="22"/>
                <w:lang w:val="hr-HR"/>
              </w:rPr>
              <w:t>da građevinski dijelovi i materijali korišteni u obnovi zgrade ne sadrže azbest niti tvari koje izazivaju veliku zabrinutost, kako je utvrđeno na temelju popisa tvari za koje je potrebno odobrenje iz Priloga XIV. Uredbi (EZ) br. 1907/2006.</w:t>
            </w:r>
          </w:p>
          <w:p w14:paraId="590424CC" w14:textId="4655EBBA" w:rsidR="00C46EF0" w:rsidRPr="00C46EF0" w:rsidRDefault="00C46EF0" w:rsidP="00F8549A">
            <w:pPr>
              <w:pStyle w:val="NoSpacing"/>
              <w:jc w:val="both"/>
              <w:rPr>
                <w:sz w:val="22"/>
                <w:szCs w:val="22"/>
                <w:lang w:val="hr-HR"/>
              </w:rPr>
            </w:pPr>
            <w:r w:rsidRPr="00C46EF0">
              <w:rPr>
                <w:sz w:val="22"/>
                <w:szCs w:val="22"/>
                <w:lang w:val="hr-HR"/>
              </w:rPr>
              <w:t xml:space="preserve">- Od operatora koji provode </w:t>
            </w:r>
            <w:r w:rsidR="00DE27FA" w:rsidRPr="004E6DF3">
              <w:rPr>
                <w:sz w:val="22"/>
                <w:szCs w:val="22"/>
                <w:lang w:val="hr-HR"/>
              </w:rPr>
              <w:t>cjelovitu i energetsku obnovu</w:t>
            </w:r>
            <w:r w:rsidRPr="00C46EF0">
              <w:rPr>
                <w:sz w:val="22"/>
                <w:szCs w:val="22"/>
                <w:lang w:val="hr-HR"/>
              </w:rPr>
              <w:t xml:space="preserve"> </w:t>
            </w:r>
            <w:r w:rsidR="00DE27FA" w:rsidRPr="00C46EF0">
              <w:rPr>
                <w:sz w:val="22"/>
                <w:szCs w:val="22"/>
                <w:lang w:val="hr-HR"/>
              </w:rPr>
              <w:lastRenderedPageBreak/>
              <w:t>osigura</w:t>
            </w:r>
            <w:r w:rsidR="00DE27FA">
              <w:rPr>
                <w:sz w:val="22"/>
                <w:szCs w:val="22"/>
                <w:lang w:val="hr-HR"/>
              </w:rPr>
              <w:t>va se</w:t>
            </w:r>
            <w:r w:rsidR="00DE27FA" w:rsidRPr="00C46EF0">
              <w:rPr>
                <w:sz w:val="22"/>
                <w:szCs w:val="22"/>
                <w:lang w:val="hr-HR"/>
              </w:rPr>
              <w:t xml:space="preserve"> </w:t>
            </w:r>
            <w:r w:rsidRPr="00C46EF0">
              <w:rPr>
                <w:sz w:val="22"/>
                <w:szCs w:val="22"/>
                <w:lang w:val="hr-HR"/>
              </w:rPr>
              <w:t>da građevinski dijelovi i materijali korišteni u zgradi koji mogu doći u kontakt sa stanarima emitiraju manje od 0,06 mg formaldehida po m3 materijala ili komponente i manje od 0,001 mg kategorija 1A i 1B kancerogeni hlapljivi organski spojevi po m3 materijala ili komponente, nakon ispitivanja u skladu s CEN / TS 16516 i ISO 16000-3 ili drugim usporedivim standardiziranim uvjetima ispitivanja i metodom određivanja.</w:t>
            </w:r>
          </w:p>
          <w:p w14:paraId="4B710265" w14:textId="2F110AF2" w:rsidR="00C46EF0" w:rsidRDefault="00C46EF0" w:rsidP="00CA37F0">
            <w:pPr>
              <w:pStyle w:val="NoSpacing"/>
              <w:jc w:val="both"/>
              <w:rPr>
                <w:sz w:val="22"/>
                <w:szCs w:val="22"/>
                <w:lang w:val="hr-HR"/>
              </w:rPr>
            </w:pPr>
            <w:r w:rsidRPr="00C46EF0">
              <w:rPr>
                <w:sz w:val="22"/>
                <w:szCs w:val="22"/>
                <w:lang w:val="hr-HR"/>
              </w:rPr>
              <w:t xml:space="preserve">- </w:t>
            </w:r>
            <w:r w:rsidR="00A149E4">
              <w:rPr>
                <w:sz w:val="22"/>
                <w:szCs w:val="22"/>
                <w:lang w:val="hr-HR"/>
              </w:rPr>
              <w:t>Poduzimaju</w:t>
            </w:r>
            <w:r w:rsidRPr="00C46EF0">
              <w:rPr>
                <w:sz w:val="22"/>
                <w:szCs w:val="22"/>
                <w:lang w:val="hr-HR"/>
              </w:rPr>
              <w:t xml:space="preserve"> se mjere za smanjenje emisije buke, prašine i onečišćujućih tvari tijekom građevinskih radova, sukladno Zakonu o gradnji članku 133. Uređenje gradilišta koji zahtijeva da se na gradilištu predvide i provode mjere zaštite na radu te ostale mjere za zaštitu života i zdravlja ljudi u skladu s posebnim propisima, te kojima se onečišćenje zraka, tla i podzemnih voda te buka svodi na najmanju mjeru. Tako se prilikom </w:t>
            </w:r>
            <w:r w:rsidR="00473148">
              <w:rPr>
                <w:sz w:val="22"/>
                <w:szCs w:val="22"/>
                <w:lang w:val="hr-HR"/>
              </w:rPr>
              <w:t xml:space="preserve">cjelovite i energetske </w:t>
            </w:r>
            <w:r w:rsidRPr="00C46EF0">
              <w:rPr>
                <w:sz w:val="22"/>
                <w:szCs w:val="22"/>
                <w:lang w:val="hr-HR"/>
              </w:rPr>
              <w:t xml:space="preserve">obnove zgrade radovi </w:t>
            </w:r>
            <w:r w:rsidR="00473148" w:rsidRPr="00C46EF0">
              <w:rPr>
                <w:sz w:val="22"/>
                <w:szCs w:val="22"/>
                <w:lang w:val="hr-HR"/>
              </w:rPr>
              <w:t>izvod</w:t>
            </w:r>
            <w:r w:rsidR="00473148">
              <w:rPr>
                <w:sz w:val="22"/>
                <w:szCs w:val="22"/>
                <w:lang w:val="hr-HR"/>
              </w:rPr>
              <w:t>e</w:t>
            </w:r>
            <w:r w:rsidR="00473148" w:rsidRPr="00C46EF0">
              <w:rPr>
                <w:sz w:val="22"/>
                <w:szCs w:val="22"/>
                <w:lang w:val="hr-HR"/>
              </w:rPr>
              <w:t xml:space="preserve"> </w:t>
            </w:r>
            <w:r w:rsidRPr="00C46EF0">
              <w:rPr>
                <w:sz w:val="22"/>
                <w:szCs w:val="22"/>
                <w:lang w:val="hr-HR"/>
              </w:rPr>
              <w:t xml:space="preserve">samo u dnevnom razdoblju, svi rastresiti materijali </w:t>
            </w:r>
            <w:r w:rsidR="00473148">
              <w:rPr>
                <w:sz w:val="22"/>
                <w:szCs w:val="22"/>
                <w:lang w:val="hr-HR"/>
              </w:rPr>
              <w:t>se sklanjaju</w:t>
            </w:r>
            <w:r w:rsidRPr="00C46EF0">
              <w:rPr>
                <w:sz w:val="22"/>
                <w:szCs w:val="22"/>
                <w:lang w:val="hr-HR"/>
              </w:rPr>
              <w:t xml:space="preserve"> (prekrivanjem ili po potrebi vlaženjem) kako bi se spriječilo rasipanje tijekom kiše i vjetra, a sva uklanjanja i demontaže građevnih elemenata i materijala </w:t>
            </w:r>
            <w:r w:rsidR="00473148" w:rsidRPr="00C46EF0">
              <w:rPr>
                <w:sz w:val="22"/>
                <w:szCs w:val="22"/>
                <w:lang w:val="hr-HR"/>
              </w:rPr>
              <w:t>vrš</w:t>
            </w:r>
            <w:r w:rsidR="00473148">
              <w:rPr>
                <w:sz w:val="22"/>
                <w:szCs w:val="22"/>
                <w:lang w:val="hr-HR"/>
              </w:rPr>
              <w:t>e</w:t>
            </w:r>
            <w:r w:rsidR="00473148" w:rsidRPr="00C46EF0">
              <w:rPr>
                <w:sz w:val="22"/>
                <w:szCs w:val="22"/>
                <w:lang w:val="hr-HR"/>
              </w:rPr>
              <w:t xml:space="preserve"> </w:t>
            </w:r>
            <w:r w:rsidR="00473148">
              <w:rPr>
                <w:sz w:val="22"/>
                <w:szCs w:val="22"/>
                <w:lang w:val="hr-HR"/>
              </w:rPr>
              <w:t>s</w:t>
            </w:r>
            <w:r w:rsidR="00473148" w:rsidRPr="00C46EF0">
              <w:rPr>
                <w:sz w:val="22"/>
                <w:szCs w:val="22"/>
                <w:lang w:val="hr-HR"/>
              </w:rPr>
              <w:t xml:space="preserve">e </w:t>
            </w:r>
            <w:r w:rsidRPr="00C46EF0">
              <w:rPr>
                <w:sz w:val="22"/>
                <w:szCs w:val="22"/>
                <w:lang w:val="hr-HR"/>
              </w:rPr>
              <w:t>tehnikama koje sprečavaju širenje prašine i štetnih tvari na susjedne površine, te će se kada je potrebno koristiti zaštitne ograde.</w:t>
            </w:r>
          </w:p>
          <w:p w14:paraId="6644BE3B" w14:textId="060999FA" w:rsidR="00116B24" w:rsidRPr="00C46EF0" w:rsidRDefault="00116B24" w:rsidP="00CA37F0">
            <w:pPr>
              <w:pStyle w:val="NoSpacing"/>
              <w:jc w:val="both"/>
              <w:rPr>
                <w:b/>
                <w:bCs/>
                <w:noProof/>
                <w:sz w:val="22"/>
                <w:szCs w:val="22"/>
                <w:lang w:val="hr-HR"/>
              </w:rPr>
            </w:pPr>
            <w:r w:rsidRPr="00CA37F0">
              <w:rPr>
                <w:sz w:val="22"/>
                <w:szCs w:val="22"/>
                <w:lang w:val="hr-HR"/>
              </w:rPr>
              <w:t xml:space="preserve">Prihvatljivi su isključivo visokoučinkoviti kotlovi usklađeni s ekološkim dizajnom, tj. kotlovi koji su u skladu s Direktivom Europskog parlamenta i Vijeća od 21. listopada 2009. o uspostavi okvira za utvrđivanje zahtjeva za ekološki dizajn proizvoda koji koriste energiju (Direktiva </w:t>
            </w:r>
            <w:r w:rsidRPr="00CA37F0">
              <w:rPr>
                <w:sz w:val="22"/>
                <w:szCs w:val="22"/>
                <w:lang w:val="hr-HR"/>
              </w:rPr>
              <w:lastRenderedPageBreak/>
              <w:t>2009/125/CE) i relevantnim provedbenim propisima, kao što je Uredba Komisije (EU) 2015/1189 od 28. travnja 2015. o provedbi Direktive2009/125/CE u pogledu zahtjeva za ekološki dizajn kotlova na kruta goriva.</w:t>
            </w:r>
          </w:p>
        </w:tc>
        <w:tc>
          <w:tcPr>
            <w:tcW w:w="3021" w:type="dxa"/>
          </w:tcPr>
          <w:p w14:paraId="7642C9C7" w14:textId="27294E0E" w:rsidR="00C46EF0" w:rsidRPr="00C46EF0" w:rsidRDefault="008D718A" w:rsidP="00C46EF0">
            <w:pPr>
              <w:rPr>
                <w:b/>
                <w:bCs/>
                <w:noProof/>
                <w:sz w:val="22"/>
                <w:szCs w:val="22"/>
                <w:lang w:val="hr-HR"/>
              </w:rPr>
            </w:pPr>
            <w:r w:rsidRPr="008D718A">
              <w:rPr>
                <w:bCs/>
                <w:i/>
                <w:noProof/>
                <w:sz w:val="22"/>
                <w:szCs w:val="22"/>
                <w:lang w:val="hr-HR"/>
              </w:rPr>
              <w:lastRenderedPageBreak/>
              <w:t>Obrazloženje – ispunjava Prijavitelj – pozvati se na dokumente i provedene procedure kojima se potvrđuje sukladnost projektnog prijedloga s navedenim načelima.</w:t>
            </w:r>
          </w:p>
        </w:tc>
      </w:tr>
      <w:tr w:rsidR="00C46EF0" w:rsidRPr="00C46EF0" w14:paraId="7B8B30A9" w14:textId="77777777" w:rsidTr="000A5C77">
        <w:tc>
          <w:tcPr>
            <w:tcW w:w="3020" w:type="dxa"/>
            <w:shd w:val="clear" w:color="auto" w:fill="auto"/>
          </w:tcPr>
          <w:p w14:paraId="72AF4BE7" w14:textId="3B039B12" w:rsidR="00C46EF0" w:rsidRPr="00C46EF0" w:rsidRDefault="00C46EF0" w:rsidP="00C46EF0">
            <w:pPr>
              <w:rPr>
                <w:b/>
                <w:bCs/>
                <w:noProof/>
                <w:sz w:val="22"/>
                <w:szCs w:val="22"/>
                <w:lang w:val="hr-HR"/>
              </w:rPr>
            </w:pPr>
            <w:r w:rsidRPr="00C46EF0">
              <w:rPr>
                <w:b/>
                <w:sz w:val="22"/>
                <w:szCs w:val="22"/>
                <w:lang w:val="hr-HR"/>
              </w:rPr>
              <w:lastRenderedPageBreak/>
              <w:t>Zaštita i obnova bioraznolikosti i ekosustava</w:t>
            </w:r>
          </w:p>
        </w:tc>
        <w:tc>
          <w:tcPr>
            <w:tcW w:w="3021" w:type="dxa"/>
            <w:shd w:val="clear" w:color="auto" w:fill="auto"/>
          </w:tcPr>
          <w:p w14:paraId="49FFC1FF" w14:textId="6A0C6775" w:rsidR="00CA37F0" w:rsidRPr="00CA37F0" w:rsidRDefault="00E55850" w:rsidP="00CA37F0">
            <w:pPr>
              <w:pStyle w:val="NoSpacing"/>
              <w:jc w:val="both"/>
              <w:rPr>
                <w:bCs/>
                <w:noProof/>
                <w:sz w:val="22"/>
                <w:szCs w:val="22"/>
                <w:lang w:val="hr-HR"/>
              </w:rPr>
            </w:pPr>
            <w:r w:rsidRPr="00A4028A">
              <w:rPr>
                <w:sz w:val="22"/>
                <w:szCs w:val="22"/>
              </w:rPr>
              <w:t xml:space="preserve">U okviru ovog Poziva ne nanosi se bitna šteta predmetnom okolišnom cilju budući da će se cjelovito i energetski </w:t>
            </w:r>
            <w:r w:rsidR="00442D8E" w:rsidRPr="00A4028A">
              <w:rPr>
                <w:sz w:val="22"/>
                <w:szCs w:val="22"/>
              </w:rPr>
              <w:t>obnavlja</w:t>
            </w:r>
            <w:r w:rsidR="00442D8E">
              <w:rPr>
                <w:sz w:val="22"/>
                <w:szCs w:val="22"/>
                <w:lang w:val="hr-HR"/>
              </w:rPr>
              <w:t>ju</w:t>
            </w:r>
            <w:r w:rsidR="00442D8E" w:rsidRPr="00A4028A">
              <w:rPr>
                <w:sz w:val="22"/>
                <w:szCs w:val="22"/>
              </w:rPr>
              <w:t xml:space="preserve"> </w:t>
            </w:r>
            <w:r w:rsidRPr="00A4028A">
              <w:rPr>
                <w:sz w:val="22"/>
                <w:szCs w:val="22"/>
              </w:rPr>
              <w:t>već postojeće zgrade, što se potvrđuje zadnjim važećim aktom koji dokazuje da je zgrada postojeća, i to u izgrađenom području.</w:t>
            </w:r>
            <w:r w:rsidR="00C46EF0" w:rsidRPr="00C46EF0">
              <w:rPr>
                <w:sz w:val="22"/>
                <w:szCs w:val="22"/>
                <w:lang w:val="hr-HR"/>
              </w:rPr>
              <w:t xml:space="preserve">. Većina zgrada </w:t>
            </w:r>
            <w:r w:rsidR="00442D8E" w:rsidRPr="00C46EF0">
              <w:rPr>
                <w:sz w:val="22"/>
                <w:szCs w:val="22"/>
                <w:lang w:val="hr-HR"/>
              </w:rPr>
              <w:t>koj</w:t>
            </w:r>
            <w:r w:rsidR="00442D8E">
              <w:rPr>
                <w:sz w:val="22"/>
                <w:szCs w:val="22"/>
                <w:lang w:val="hr-HR"/>
              </w:rPr>
              <w:t>a</w:t>
            </w:r>
            <w:r w:rsidR="00442D8E" w:rsidRPr="00C46EF0">
              <w:rPr>
                <w:sz w:val="22"/>
                <w:szCs w:val="22"/>
                <w:lang w:val="hr-HR"/>
              </w:rPr>
              <w:t xml:space="preserve"> </w:t>
            </w:r>
            <w:r w:rsidR="00C46EF0" w:rsidRPr="00C46EF0">
              <w:rPr>
                <w:sz w:val="22"/>
                <w:szCs w:val="22"/>
                <w:lang w:val="hr-HR"/>
              </w:rPr>
              <w:t xml:space="preserve">se </w:t>
            </w:r>
            <w:r w:rsidR="00442D8E" w:rsidRPr="00C46EF0">
              <w:rPr>
                <w:sz w:val="22"/>
                <w:szCs w:val="22"/>
                <w:lang w:val="hr-HR"/>
              </w:rPr>
              <w:t>obn</w:t>
            </w:r>
            <w:r w:rsidR="00442D8E">
              <w:rPr>
                <w:sz w:val="22"/>
                <w:szCs w:val="22"/>
                <w:lang w:val="hr-HR"/>
              </w:rPr>
              <w:t xml:space="preserve">avlja </w:t>
            </w:r>
            <w:r w:rsidR="00C46EF0" w:rsidRPr="00C46EF0">
              <w:rPr>
                <w:sz w:val="22"/>
                <w:szCs w:val="22"/>
                <w:lang w:val="hr-HR"/>
              </w:rPr>
              <w:t xml:space="preserve">ne nalazi </w:t>
            </w:r>
            <w:r w:rsidR="00442D8E">
              <w:rPr>
                <w:sz w:val="22"/>
                <w:szCs w:val="22"/>
                <w:lang w:val="hr-HR"/>
              </w:rPr>
              <w:t xml:space="preserve">se </w:t>
            </w:r>
            <w:r w:rsidR="00C46EF0" w:rsidRPr="00C46EF0">
              <w:rPr>
                <w:sz w:val="22"/>
                <w:szCs w:val="22"/>
                <w:lang w:val="hr-HR"/>
              </w:rPr>
              <w:t>u ili u blizini područja osjetljivih na biološku raznolikost (uključujući mrežu zaštićenih područja Natura 2000, područja svjetske baštine UNESCO-a i ključna područja biološke raznolikosti, kao i druga zaštićena područja) jer je riječ o postojećim zgradama u izgrađenom području.</w:t>
            </w:r>
            <w:r w:rsidR="00CA37F0">
              <w:rPr>
                <w:sz w:val="22"/>
                <w:szCs w:val="22"/>
                <w:lang w:val="hr-HR"/>
              </w:rPr>
              <w:t xml:space="preserve"> </w:t>
            </w:r>
            <w:r w:rsidR="00CA37F0" w:rsidRPr="00E026F1">
              <w:rPr>
                <w:sz w:val="22"/>
                <w:szCs w:val="22"/>
                <w:lang w:val="hr-HR"/>
              </w:rPr>
              <w:t xml:space="preserve">U slučaju da se predmetna zgrada nalazi u ili blizu područja osjetljivih na biološku raznolikost (uključujući mrežu Natura 2000, mjesta svjetske baštine UNESCO-a i ključna mjesta biološke raznolikosti (KBA), kao i druga zaštićena područja), </w:t>
            </w:r>
            <w:r w:rsidR="005262F0" w:rsidRPr="00E026F1">
              <w:rPr>
                <w:sz w:val="22"/>
                <w:szCs w:val="22"/>
                <w:lang w:val="hr-HR"/>
              </w:rPr>
              <w:t>prov</w:t>
            </w:r>
            <w:r w:rsidR="005262F0">
              <w:rPr>
                <w:sz w:val="22"/>
                <w:szCs w:val="22"/>
                <w:lang w:val="hr-HR"/>
              </w:rPr>
              <w:t>ode se</w:t>
            </w:r>
            <w:r w:rsidR="00CA37F0" w:rsidRPr="00E026F1">
              <w:rPr>
                <w:sz w:val="22"/>
                <w:szCs w:val="22"/>
                <w:lang w:val="hr-HR"/>
              </w:rPr>
              <w:t xml:space="preserve"> potrebne mjere ublažavanja kako bi se spriječilo narušavanje biološke raznolikosti i ekosustava.</w:t>
            </w:r>
          </w:p>
        </w:tc>
        <w:tc>
          <w:tcPr>
            <w:tcW w:w="3021" w:type="dxa"/>
          </w:tcPr>
          <w:p w14:paraId="73C22ED2" w14:textId="6CDE524A" w:rsidR="00CA37F0" w:rsidRPr="00C46EF0" w:rsidRDefault="008D718A" w:rsidP="00CA37F0">
            <w:pPr>
              <w:rPr>
                <w:b/>
                <w:bCs/>
                <w:noProof/>
                <w:sz w:val="22"/>
                <w:szCs w:val="22"/>
                <w:lang w:val="hr-HR"/>
              </w:rPr>
            </w:pPr>
            <w:r w:rsidRPr="008D718A">
              <w:rPr>
                <w:bCs/>
                <w:i/>
                <w:noProof/>
                <w:sz w:val="22"/>
                <w:szCs w:val="22"/>
                <w:lang w:val="hr-HR"/>
              </w:rPr>
              <w:t>Obrazloženje – ispunjava Prijavitelj – pozvati se na dokumente i provedene procedure kojima se potvrđuje sukladnost projektnog prijedloga s navedenim načelima.</w:t>
            </w:r>
            <w:r w:rsidR="00CA37F0">
              <w:rPr>
                <w:bCs/>
                <w:i/>
                <w:noProof/>
                <w:sz w:val="22"/>
                <w:szCs w:val="22"/>
                <w:lang w:val="hr-HR"/>
              </w:rPr>
              <w:t xml:space="preserve"> </w:t>
            </w:r>
          </w:p>
        </w:tc>
      </w:tr>
    </w:tbl>
    <w:p w14:paraId="71ABBAA2" w14:textId="77777777" w:rsidR="00C46EF0" w:rsidRDefault="00C46EF0" w:rsidP="004C504C">
      <w:pPr>
        <w:rPr>
          <w:rFonts w:ascii="Times New Roman" w:hAnsi="Times New Roman" w:cs="Times New Roman"/>
          <w:b/>
          <w:bCs/>
          <w:noProof/>
          <w:lang w:eastAsia="en-US"/>
        </w:rPr>
      </w:pPr>
    </w:p>
    <w:p w14:paraId="7DA92639" w14:textId="77777777" w:rsidR="00F8549A" w:rsidRPr="00C46EF0" w:rsidRDefault="00F8549A" w:rsidP="004C504C">
      <w:pPr>
        <w:rPr>
          <w:rFonts w:ascii="Times New Roman" w:hAnsi="Times New Roman" w:cs="Times New Roman"/>
          <w:b/>
          <w:bCs/>
          <w:noProof/>
          <w:lang w:eastAsia="en-US"/>
        </w:rPr>
      </w:pPr>
    </w:p>
    <w:p w14:paraId="19744F61" w14:textId="719509E2" w:rsidR="0070722A" w:rsidRPr="00F8549A" w:rsidRDefault="004C504C" w:rsidP="00F8549A">
      <w:pPr>
        <w:rPr>
          <w:rFonts w:ascii="Times New Roman" w:hAnsi="Times New Roman" w:cs="Times New Roman"/>
          <w:b/>
          <w:bCs/>
          <w:noProof/>
          <w:lang w:eastAsia="en-US"/>
        </w:rPr>
      </w:pPr>
      <w:r w:rsidRPr="00C46EF0">
        <w:rPr>
          <w:rFonts w:ascii="Times New Roman" w:hAnsi="Times New Roman" w:cs="Times New Roman"/>
          <w:b/>
          <w:bCs/>
          <w:noProof/>
          <w:lang w:eastAsia="en-US"/>
        </w:rPr>
        <w:t>Potpis prijavitelja:</w:t>
      </w:r>
    </w:p>
    <w:p w14:paraId="1E15F616" w14:textId="77777777" w:rsidR="00D62B7C" w:rsidRPr="00C46EF0" w:rsidRDefault="00D62B7C" w:rsidP="00853360">
      <w:pPr>
        <w:pBdr>
          <w:top w:val="single" w:sz="4" w:space="1" w:color="auto"/>
          <w:left w:val="single" w:sz="4" w:space="4" w:color="auto"/>
          <w:bottom w:val="single" w:sz="4" w:space="0" w:color="auto"/>
          <w:right w:val="single" w:sz="4" w:space="29" w:color="auto"/>
        </w:pBdr>
        <w:tabs>
          <w:tab w:val="left" w:pos="1257"/>
        </w:tabs>
        <w:spacing w:after="0"/>
        <w:jc w:val="both"/>
        <w:rPr>
          <w:rFonts w:ascii="Times New Roman" w:eastAsia="Times New Roman" w:hAnsi="Times New Roman" w:cs="Times New Roman"/>
        </w:rPr>
      </w:pPr>
    </w:p>
    <w:p w14:paraId="4B8E6629" w14:textId="7F1B774A" w:rsidR="00973005" w:rsidRPr="00C46EF0" w:rsidRDefault="00973005" w:rsidP="00853360">
      <w:pPr>
        <w:pBdr>
          <w:top w:val="single" w:sz="4" w:space="1" w:color="auto"/>
          <w:left w:val="single" w:sz="4" w:space="4" w:color="auto"/>
          <w:bottom w:val="single" w:sz="4" w:space="1" w:color="auto"/>
          <w:right w:val="single" w:sz="4" w:space="29" w:color="auto"/>
        </w:pBdr>
        <w:tabs>
          <w:tab w:val="left" w:pos="1257"/>
        </w:tabs>
        <w:spacing w:after="0"/>
        <w:jc w:val="both"/>
        <w:rPr>
          <w:rFonts w:ascii="Times New Roman" w:eastAsia="Times New Roman" w:hAnsi="Times New Roman" w:cs="Times New Roman"/>
        </w:rPr>
      </w:pPr>
      <w:r w:rsidRPr="00C46EF0">
        <w:rPr>
          <w:rFonts w:ascii="Times New Roman" w:eastAsia="Times New Roman" w:hAnsi="Times New Roman" w:cs="Times New Roman"/>
        </w:rPr>
        <w:t xml:space="preserve">U &lt; </w:t>
      </w:r>
      <w:r w:rsidRPr="00C46EF0">
        <w:rPr>
          <w:rFonts w:ascii="Times New Roman" w:eastAsia="Times New Roman" w:hAnsi="Times New Roman" w:cs="Times New Roman"/>
          <w:i/>
        </w:rPr>
        <w:t xml:space="preserve">umetnuti </w:t>
      </w:r>
      <w:r w:rsidR="0070722A" w:rsidRPr="00C46EF0">
        <w:rPr>
          <w:rFonts w:ascii="Times New Roman" w:eastAsia="Times New Roman" w:hAnsi="Times New Roman" w:cs="Times New Roman"/>
          <w:i/>
        </w:rPr>
        <w:t xml:space="preserve"> mjesto </w:t>
      </w:r>
      <w:r w:rsidR="00B349B7" w:rsidRPr="00C46EF0">
        <w:rPr>
          <w:rFonts w:ascii="Times New Roman" w:eastAsia="Times New Roman" w:hAnsi="Times New Roman" w:cs="Times New Roman"/>
          <w:i/>
        </w:rPr>
        <w:t xml:space="preserve"> </w:t>
      </w:r>
      <w:r w:rsidRPr="00C46EF0">
        <w:rPr>
          <w:rFonts w:ascii="Times New Roman" w:eastAsia="Times New Roman" w:hAnsi="Times New Roman" w:cs="Times New Roman"/>
        </w:rPr>
        <w:t>&gt;</w:t>
      </w:r>
      <w:r w:rsidR="00817C7E" w:rsidRPr="00C46EF0">
        <w:rPr>
          <w:rFonts w:ascii="Times New Roman" w:eastAsia="Times New Roman" w:hAnsi="Times New Roman" w:cs="Times New Roman"/>
        </w:rPr>
        <w:t>,</w:t>
      </w:r>
      <w:r w:rsidRPr="00C46EF0">
        <w:rPr>
          <w:rFonts w:ascii="Times New Roman" w:eastAsia="Times New Roman" w:hAnsi="Times New Roman" w:cs="Times New Roman"/>
        </w:rPr>
        <w:t xml:space="preserve"> dana  &lt; </w:t>
      </w:r>
      <w:r w:rsidRPr="00C46EF0">
        <w:rPr>
          <w:rFonts w:ascii="Times New Roman" w:eastAsia="Times New Roman" w:hAnsi="Times New Roman" w:cs="Times New Roman"/>
          <w:i/>
        </w:rPr>
        <w:t>umetnuti</w:t>
      </w:r>
      <w:r w:rsidRPr="00C46EF0">
        <w:rPr>
          <w:rFonts w:ascii="Times New Roman" w:eastAsia="Times New Roman" w:hAnsi="Times New Roman" w:cs="Times New Roman"/>
        </w:rPr>
        <w:t xml:space="preserve"> </w:t>
      </w:r>
      <w:r w:rsidR="0070722A" w:rsidRPr="00C46EF0">
        <w:rPr>
          <w:rFonts w:ascii="Times New Roman" w:eastAsia="Times New Roman" w:hAnsi="Times New Roman" w:cs="Times New Roman"/>
        </w:rPr>
        <w:t xml:space="preserve"> </w:t>
      </w:r>
      <w:r w:rsidR="0070722A" w:rsidRPr="00C46EF0">
        <w:rPr>
          <w:rFonts w:ascii="Times New Roman" w:eastAsia="Times New Roman" w:hAnsi="Times New Roman" w:cs="Times New Roman"/>
          <w:i/>
        </w:rPr>
        <w:t xml:space="preserve">datum </w:t>
      </w:r>
      <w:r w:rsidRPr="00C46EF0">
        <w:rPr>
          <w:rFonts w:ascii="Times New Roman" w:eastAsia="Times New Roman" w:hAnsi="Times New Roman" w:cs="Times New Roman"/>
        </w:rPr>
        <w:t>&gt;</w:t>
      </w:r>
      <w:r w:rsidR="00817C7E" w:rsidRPr="00C46EF0">
        <w:rPr>
          <w:rFonts w:ascii="Times New Roman" w:eastAsia="Times New Roman" w:hAnsi="Times New Roman" w:cs="Times New Roman"/>
        </w:rPr>
        <w:t xml:space="preserve"> </w:t>
      </w:r>
      <w:r w:rsidR="008D52FB" w:rsidRPr="00C46EF0">
        <w:rPr>
          <w:rFonts w:ascii="Times New Roman" w:eastAsia="Times New Roman" w:hAnsi="Times New Roman" w:cs="Times New Roman"/>
        </w:rPr>
        <w:t xml:space="preserve">20  </w:t>
      </w:r>
      <w:r w:rsidR="00B349B7" w:rsidRPr="00C46EF0">
        <w:rPr>
          <w:rFonts w:ascii="Times New Roman" w:eastAsia="Times New Roman" w:hAnsi="Times New Roman" w:cs="Times New Roman"/>
        </w:rPr>
        <w:t>&lt; umetnuti  godinu).</w:t>
      </w:r>
    </w:p>
    <w:p w14:paraId="30F20744" w14:textId="6DA7B1E1" w:rsidR="00973005" w:rsidRPr="00C46EF0" w:rsidRDefault="004D47FF" w:rsidP="00853360">
      <w:pPr>
        <w:pBdr>
          <w:top w:val="single" w:sz="4" w:space="1" w:color="auto"/>
          <w:left w:val="single" w:sz="4" w:space="4" w:color="auto"/>
          <w:bottom w:val="single" w:sz="4" w:space="1" w:color="auto"/>
          <w:right w:val="single" w:sz="4" w:space="29" w:color="auto"/>
        </w:pBdr>
        <w:tabs>
          <w:tab w:val="left" w:pos="1257"/>
        </w:tabs>
        <w:spacing w:after="0"/>
        <w:jc w:val="both"/>
        <w:rPr>
          <w:rFonts w:ascii="Times New Roman" w:eastAsia="Times New Roman" w:hAnsi="Times New Roman" w:cs="Times New Roman"/>
        </w:rPr>
      </w:pPr>
      <w:r w:rsidRPr="00C46EF0">
        <w:rPr>
          <w:rFonts w:ascii="Times New Roman" w:eastAsia="Times New Roman" w:hAnsi="Times New Roman" w:cs="Times New Roman"/>
        </w:rPr>
        <w:t>&lt;</w:t>
      </w:r>
      <w:r w:rsidRPr="00C46EF0">
        <w:rPr>
          <w:rFonts w:ascii="Times New Roman" w:eastAsia="Times New Roman" w:hAnsi="Times New Roman" w:cs="Times New Roman"/>
          <w:i/>
        </w:rPr>
        <w:t>:</w:t>
      </w:r>
      <w:r w:rsidRPr="00C46EF0">
        <w:rPr>
          <w:rFonts w:ascii="Times New Roman" w:eastAsia="Times New Roman" w:hAnsi="Times New Roman" w:cs="Times New Roman"/>
        </w:rPr>
        <w:t xml:space="preserve"> </w:t>
      </w:r>
      <w:r w:rsidR="00D12C0D" w:rsidRPr="00C46EF0">
        <w:rPr>
          <w:rFonts w:ascii="Times New Roman" w:eastAsia="Times New Roman" w:hAnsi="Times New Roman" w:cs="Times New Roman"/>
        </w:rPr>
        <w:t>prijavitelj</w:t>
      </w:r>
      <w:r w:rsidRPr="00C46EF0">
        <w:rPr>
          <w:rFonts w:ascii="Times New Roman" w:eastAsia="Times New Roman" w:hAnsi="Times New Roman" w:cs="Times New Roman"/>
        </w:rPr>
        <w:t xml:space="preserve"> /  &gt; </w:t>
      </w:r>
      <w:r w:rsidR="00A10C02" w:rsidRPr="00C46EF0">
        <w:rPr>
          <w:rFonts w:ascii="Times New Roman" w:eastAsia="Times New Roman" w:hAnsi="Times New Roman" w:cs="Times New Roman"/>
        </w:rPr>
        <w:t xml:space="preserve">&lt; </w:t>
      </w:r>
      <w:r w:rsidR="00817C7E" w:rsidRPr="00C46EF0">
        <w:rPr>
          <w:rFonts w:ascii="Times New Roman" w:eastAsia="Times New Roman" w:hAnsi="Times New Roman" w:cs="Times New Roman"/>
          <w:i/>
        </w:rPr>
        <w:t xml:space="preserve">ili </w:t>
      </w:r>
      <w:r w:rsidR="00A10C02" w:rsidRPr="00C46EF0">
        <w:rPr>
          <w:rFonts w:ascii="Times New Roman" w:eastAsia="Times New Roman" w:hAnsi="Times New Roman" w:cs="Times New Roman"/>
          <w:i/>
        </w:rPr>
        <w:t xml:space="preserve">umetnuti, ako je primjenjivo - osoba po zakonu ovlaštena za zastupanje </w:t>
      </w:r>
      <w:r w:rsidR="00D12C0D" w:rsidRPr="00C46EF0">
        <w:rPr>
          <w:rFonts w:ascii="Times New Roman" w:eastAsia="Times New Roman" w:hAnsi="Times New Roman" w:cs="Times New Roman"/>
          <w:i/>
        </w:rPr>
        <w:t>prijavitelj</w:t>
      </w:r>
      <w:r w:rsidR="008B42E0" w:rsidRPr="00C46EF0">
        <w:rPr>
          <w:rFonts w:ascii="Times New Roman" w:eastAsia="Times New Roman" w:hAnsi="Times New Roman" w:cs="Times New Roman"/>
          <w:i/>
        </w:rPr>
        <w:t>a</w:t>
      </w:r>
      <w:r w:rsidRPr="00C46EF0">
        <w:rPr>
          <w:rFonts w:ascii="Times New Roman" w:eastAsia="Times New Roman" w:hAnsi="Times New Roman" w:cs="Times New Roman"/>
          <w:i/>
        </w:rPr>
        <w:t xml:space="preserve"> </w:t>
      </w:r>
      <w:r w:rsidR="008B42E0" w:rsidRPr="00C46EF0">
        <w:rPr>
          <w:rFonts w:ascii="Times New Roman" w:eastAsia="Times New Roman" w:hAnsi="Times New Roman" w:cs="Times New Roman"/>
          <w:i/>
        </w:rPr>
        <w:t xml:space="preserve">/ a </w:t>
      </w:r>
      <w:r w:rsidR="00EF200A" w:rsidRPr="00C46EF0">
        <w:rPr>
          <w:rFonts w:ascii="Times New Roman" w:eastAsia="Times New Roman" w:hAnsi="Times New Roman" w:cs="Times New Roman"/>
          <w:i/>
        </w:rPr>
        <w:t xml:space="preserve"> </w:t>
      </w:r>
      <w:r w:rsidR="00A10C02" w:rsidRPr="00C46EF0">
        <w:rPr>
          <w:rFonts w:ascii="Times New Roman" w:eastAsia="Times New Roman" w:hAnsi="Times New Roman" w:cs="Times New Roman"/>
        </w:rPr>
        <w:t>&gt;</w:t>
      </w:r>
    </w:p>
    <w:p w14:paraId="500D8369" w14:textId="77777777" w:rsidR="00564147" w:rsidRPr="00C46EF0" w:rsidRDefault="00564147" w:rsidP="00853360">
      <w:pPr>
        <w:pBdr>
          <w:top w:val="single" w:sz="4" w:space="1" w:color="auto"/>
          <w:left w:val="single" w:sz="4" w:space="4" w:color="auto"/>
          <w:bottom w:val="single" w:sz="4" w:space="1" w:color="auto"/>
          <w:right w:val="single" w:sz="4" w:space="29" w:color="auto"/>
        </w:pBdr>
        <w:tabs>
          <w:tab w:val="left" w:pos="1257"/>
        </w:tabs>
        <w:spacing w:after="0"/>
        <w:jc w:val="both"/>
        <w:rPr>
          <w:rFonts w:ascii="Times New Roman" w:eastAsia="Times New Roman" w:hAnsi="Times New Roman" w:cs="Times New Roman"/>
        </w:rPr>
      </w:pPr>
      <w:r w:rsidRPr="00C46EF0">
        <w:rPr>
          <w:rFonts w:ascii="Times New Roman" w:eastAsia="Times New Roman" w:hAnsi="Times New Roman" w:cs="Times New Roman"/>
        </w:rPr>
        <w:t xml:space="preserve">Funkcija &lt; </w:t>
      </w:r>
      <w:r w:rsidRPr="00C46EF0">
        <w:rPr>
          <w:rFonts w:ascii="Times New Roman" w:eastAsia="Times New Roman" w:hAnsi="Times New Roman" w:cs="Times New Roman"/>
          <w:i/>
        </w:rPr>
        <w:t xml:space="preserve">umetnuti  </w:t>
      </w:r>
      <w:r w:rsidRPr="00C46EF0">
        <w:rPr>
          <w:rFonts w:ascii="Times New Roman" w:eastAsia="Times New Roman" w:hAnsi="Times New Roman" w:cs="Times New Roman"/>
        </w:rPr>
        <w:t xml:space="preserve">&gt;  </w:t>
      </w:r>
    </w:p>
    <w:p w14:paraId="31772677" w14:textId="77777777" w:rsidR="0070722A" w:rsidRPr="00C46EF0" w:rsidRDefault="00973005" w:rsidP="00853360">
      <w:pPr>
        <w:pBdr>
          <w:top w:val="single" w:sz="4" w:space="1" w:color="auto"/>
          <w:left w:val="single" w:sz="4" w:space="4" w:color="auto"/>
          <w:bottom w:val="single" w:sz="4" w:space="1" w:color="auto"/>
          <w:right w:val="single" w:sz="4" w:space="29" w:color="auto"/>
        </w:pBdr>
        <w:tabs>
          <w:tab w:val="left" w:pos="1257"/>
        </w:tabs>
        <w:spacing w:after="0"/>
        <w:jc w:val="both"/>
        <w:rPr>
          <w:rFonts w:ascii="Times New Roman" w:eastAsia="Times New Roman" w:hAnsi="Times New Roman" w:cs="Times New Roman"/>
        </w:rPr>
      </w:pPr>
      <w:r w:rsidRPr="00C46EF0">
        <w:rPr>
          <w:rFonts w:ascii="Times New Roman" w:eastAsia="Times New Roman" w:hAnsi="Times New Roman" w:cs="Times New Roman"/>
        </w:rPr>
        <w:t xml:space="preserve">Potpis </w:t>
      </w:r>
      <w:r w:rsidR="0070722A" w:rsidRPr="00C46EF0">
        <w:rPr>
          <w:rFonts w:ascii="Times New Roman" w:eastAsia="Times New Roman" w:hAnsi="Times New Roman" w:cs="Times New Roman"/>
        </w:rPr>
        <w:t xml:space="preserve">&lt; </w:t>
      </w:r>
      <w:r w:rsidRPr="00C46EF0">
        <w:rPr>
          <w:rFonts w:ascii="Times New Roman" w:eastAsia="Times New Roman" w:hAnsi="Times New Roman" w:cs="Times New Roman"/>
          <w:i/>
        </w:rPr>
        <w:t xml:space="preserve">umetnuti </w:t>
      </w:r>
      <w:r w:rsidR="0070722A" w:rsidRPr="00C46EF0">
        <w:rPr>
          <w:rFonts w:ascii="Times New Roman" w:eastAsia="Times New Roman" w:hAnsi="Times New Roman" w:cs="Times New Roman"/>
          <w:i/>
        </w:rPr>
        <w:t xml:space="preserve"> </w:t>
      </w:r>
      <w:r w:rsidRPr="00C46EF0">
        <w:rPr>
          <w:rFonts w:ascii="Times New Roman" w:eastAsia="Times New Roman" w:hAnsi="Times New Roman" w:cs="Times New Roman"/>
        </w:rPr>
        <w:t>&gt;</w:t>
      </w:r>
      <w:r w:rsidR="00817C7E" w:rsidRPr="00C46EF0">
        <w:rPr>
          <w:rFonts w:ascii="Times New Roman" w:eastAsia="Times New Roman" w:hAnsi="Times New Roman" w:cs="Times New Roman"/>
        </w:rPr>
        <w:t xml:space="preserve"> </w:t>
      </w:r>
      <w:r w:rsidRPr="00C46EF0">
        <w:rPr>
          <w:rFonts w:ascii="Times New Roman" w:eastAsia="Times New Roman" w:hAnsi="Times New Roman" w:cs="Times New Roman"/>
        </w:rPr>
        <w:t xml:space="preserve"> </w:t>
      </w:r>
      <w:r w:rsidR="0070722A" w:rsidRPr="00C46EF0">
        <w:rPr>
          <w:rFonts w:ascii="Times New Roman" w:eastAsia="Times New Roman" w:hAnsi="Times New Roman" w:cs="Times New Roman"/>
        </w:rPr>
        <w:t xml:space="preserve">i pečat </w:t>
      </w:r>
      <w:r w:rsidRPr="00C46EF0">
        <w:rPr>
          <w:rFonts w:ascii="Times New Roman" w:eastAsia="Times New Roman" w:hAnsi="Times New Roman" w:cs="Times New Roman"/>
        </w:rPr>
        <w:t xml:space="preserve"> </w:t>
      </w:r>
      <w:r w:rsidR="0014602E" w:rsidRPr="00C46EF0">
        <w:rPr>
          <w:rFonts w:ascii="Times New Roman" w:eastAsia="Times New Roman" w:hAnsi="Times New Roman" w:cs="Times New Roman"/>
        </w:rPr>
        <w:t>&lt; umetnuti  &gt;</w:t>
      </w:r>
    </w:p>
    <w:sectPr w:rsidR="0070722A" w:rsidRPr="00C46EF0" w:rsidSect="0083290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53DFE" w14:textId="77777777" w:rsidR="001F6CE9" w:rsidRDefault="001F6CE9" w:rsidP="00EC4A16">
      <w:pPr>
        <w:spacing w:after="0" w:line="240" w:lineRule="auto"/>
      </w:pPr>
      <w:r>
        <w:separator/>
      </w:r>
    </w:p>
  </w:endnote>
  <w:endnote w:type="continuationSeparator" w:id="0">
    <w:p w14:paraId="72576F86" w14:textId="77777777" w:rsidR="001F6CE9" w:rsidRDefault="001F6CE9"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1944B" w14:textId="77777777" w:rsidR="00CC48A4" w:rsidRDefault="00CC48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1872B84E" w14:textId="16139DB5"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CC48A4">
              <w:rPr>
                <w:rFonts w:ascii="Times New Roman" w:hAnsi="Times New Roman" w:cs="Times New Roman"/>
                <w:b/>
                <w:bCs/>
                <w:noProof/>
                <w:sz w:val="18"/>
                <w:szCs w:val="18"/>
              </w:rPr>
              <w:t>7</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CC48A4">
              <w:rPr>
                <w:rFonts w:ascii="Times New Roman" w:hAnsi="Times New Roman" w:cs="Times New Roman"/>
                <w:b/>
                <w:bCs/>
                <w:noProof/>
                <w:sz w:val="18"/>
                <w:szCs w:val="18"/>
              </w:rPr>
              <w:t>7</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3AECB" w14:textId="77777777" w:rsidR="00CC48A4" w:rsidRDefault="00CC4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FDFD1" w14:textId="77777777" w:rsidR="001F6CE9" w:rsidRDefault="001F6CE9" w:rsidP="00EC4A16">
      <w:pPr>
        <w:spacing w:after="0" w:line="240" w:lineRule="auto"/>
      </w:pPr>
      <w:r>
        <w:separator/>
      </w:r>
    </w:p>
  </w:footnote>
  <w:footnote w:type="continuationSeparator" w:id="0">
    <w:p w14:paraId="3A6C34C6" w14:textId="77777777" w:rsidR="001F6CE9" w:rsidRDefault="001F6CE9" w:rsidP="00EC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E80EA" w14:textId="77777777" w:rsidR="00CC48A4" w:rsidRDefault="00CC4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939FB" w14:textId="49B67DBC" w:rsidR="002071A0" w:rsidRPr="00890F9D" w:rsidRDefault="002071A0" w:rsidP="002071A0">
    <w:pPr>
      <w:pStyle w:val="NormalWeb"/>
      <w:spacing w:before="0" w:beforeAutospacing="0" w:after="0" w:afterAutospacing="0"/>
      <w:ind w:left="6372"/>
      <w:jc w:val="right"/>
      <w:rPr>
        <w:b/>
        <w:sz w:val="16"/>
        <w:szCs w:val="16"/>
      </w:rPr>
    </w:pPr>
    <w:r w:rsidRPr="00890F9D">
      <w:rPr>
        <w:sz w:val="16"/>
        <w:szCs w:val="16"/>
      </w:rPr>
      <w:t>”</w:t>
    </w:r>
  </w:p>
  <w:p w14:paraId="3AE6ED1F" w14:textId="52880BDB" w:rsidR="002071A0" w:rsidRDefault="002071A0" w:rsidP="002071A0">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8333D" w14:textId="4B855BE4" w:rsidR="0083290F" w:rsidRPr="00EE4CD5" w:rsidRDefault="00B860DD" w:rsidP="00E018C7">
    <w:pPr>
      <w:pStyle w:val="Zaglavlje1"/>
      <w:tabs>
        <w:tab w:val="clear" w:pos="4536"/>
        <w:tab w:val="clear" w:pos="9072"/>
        <w:tab w:val="left" w:pos="6181"/>
      </w:tabs>
      <w:ind w:left="2124" w:firstLine="2832"/>
      <w:rPr>
        <w:noProof/>
        <w:sz w:val="20"/>
        <w:szCs w:val="20"/>
        <w:lang w:eastAsia="hr-HR"/>
      </w:rPr>
    </w:pPr>
    <w:r w:rsidRPr="002071A0">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5408" behindDoc="0" locked="0" layoutInCell="1" allowOverlap="1" wp14:anchorId="42E2D979" wp14:editId="52535FD3">
              <wp:simplePos x="0" y="0"/>
              <wp:positionH relativeFrom="margin">
                <wp:posOffset>424180</wp:posOffset>
              </wp:positionH>
              <wp:positionV relativeFrom="paragraph">
                <wp:posOffset>274320</wp:posOffset>
              </wp:positionV>
              <wp:extent cx="2483485" cy="407035"/>
              <wp:effectExtent l="0" t="0" r="0" b="0"/>
              <wp:wrapNone/>
              <wp:docPr id="3" name="Pravokutnik 16"/>
              <wp:cNvGraphicFramePr/>
              <a:graphic xmlns:a="http://schemas.openxmlformats.org/drawingml/2006/main">
                <a:graphicData uri="http://schemas.microsoft.com/office/word/2010/wordprocessingShape">
                  <wps:wsp>
                    <wps:cNvSpPr/>
                    <wps:spPr>
                      <a:xfrm>
                        <a:off x="0" y="0"/>
                        <a:ext cx="2483485" cy="407035"/>
                      </a:xfrm>
                      <a:prstGeom prst="rect">
                        <a:avLst/>
                      </a:prstGeom>
                    </wps:spPr>
                    <wps:txbx>
                      <w:txbxContent>
                        <w:p w14:paraId="6FC2AF71" w14:textId="77777777" w:rsidR="0083290F" w:rsidRPr="00EE4CD5" w:rsidRDefault="0083290F" w:rsidP="0083290F">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1AD18028" w14:textId="77777777" w:rsidR="0083290F" w:rsidRPr="00EE4CD5" w:rsidRDefault="0083290F" w:rsidP="0083290F">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E2D979" id="Pravokutnik 16" o:spid="_x0000_s1026" style="position:absolute;margin-left:33.4pt;margin-top:21.6pt;width:195.55pt;height:32.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" filled="f" stroked="f">
              <v:textbox>
                <w:txbxContent>
                  <w:p w14:paraId="6FC2AF71" w14:textId="77777777" w:rsidR="0083290F" w:rsidRPr="00EE4CD5" w:rsidRDefault="0083290F" w:rsidP="0083290F">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1AD18028" w14:textId="77777777" w:rsidR="0083290F" w:rsidRPr="00EE4CD5" w:rsidRDefault="0083290F" w:rsidP="0083290F">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v:textbox>
              <w10:wrap anchorx="margin"/>
            </v:rect>
          </w:pict>
        </mc:Fallback>
      </mc:AlternateContent>
    </w:r>
    <w:r>
      <w:rPr>
        <w:rFonts w:ascii="Arial" w:eastAsia="Arial" w:hAnsi="Arial" w:cs="Arial"/>
        <w:noProof/>
        <w:lang w:eastAsia="hr-HR"/>
      </w:rPr>
      <w:drawing>
        <wp:anchor distT="0" distB="0" distL="0" distR="0" simplePos="0" relativeHeight="251667456" behindDoc="0" locked="0" layoutInCell="1" allowOverlap="1" wp14:anchorId="71A16F11" wp14:editId="34679AEA">
          <wp:simplePos x="0" y="0"/>
          <wp:positionH relativeFrom="column">
            <wp:posOffset>-147320</wp:posOffset>
          </wp:positionH>
          <wp:positionV relativeFrom="paragraph">
            <wp:posOffset>74930</wp:posOffset>
          </wp:positionV>
          <wp:extent cx="605790" cy="715010"/>
          <wp:effectExtent l="0" t="0" r="3810" b="8890"/>
          <wp:wrapTopAndBottom/>
          <wp:docPr id="9" name="Picture 9"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0083290F">
      <w:rPr>
        <w:noProof/>
        <w:lang w:eastAsia="hr-HR"/>
      </w:rPr>
      <w:drawing>
        <wp:anchor distT="0" distB="0" distL="0" distR="0" simplePos="0" relativeHeight="251666432" behindDoc="0" locked="0" layoutInCell="1" allowOverlap="1" wp14:anchorId="1B224E74" wp14:editId="2A74F2A7">
          <wp:simplePos x="0" y="0"/>
          <wp:positionH relativeFrom="page">
            <wp:posOffset>4252595</wp:posOffset>
          </wp:positionH>
          <wp:positionV relativeFrom="paragraph">
            <wp:posOffset>92858</wp:posOffset>
          </wp:positionV>
          <wp:extent cx="2389505" cy="58801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389505" cy="588010"/>
                  </a:xfrm>
                  <a:prstGeom prst="rect">
                    <a:avLst/>
                  </a:prstGeom>
                </pic:spPr>
              </pic:pic>
            </a:graphicData>
          </a:graphic>
        </wp:anchor>
      </w:drawing>
    </w:r>
    <w:r w:rsidR="0083290F" w:rsidRPr="002071A0">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4384" behindDoc="0" locked="0" layoutInCell="1" allowOverlap="1" wp14:anchorId="743F94F3" wp14:editId="46421621">
              <wp:simplePos x="0" y="0"/>
              <wp:positionH relativeFrom="column">
                <wp:posOffset>4157345</wp:posOffset>
              </wp:positionH>
              <wp:positionV relativeFrom="paragraph">
                <wp:posOffset>497840</wp:posOffset>
              </wp:positionV>
              <wp:extent cx="1666875" cy="600075"/>
              <wp:effectExtent l="0" t="0" r="0" b="0"/>
              <wp:wrapNone/>
              <wp:docPr id="5"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722E4CFA" w14:textId="77777777" w:rsidR="0083290F" w:rsidRPr="00890F9D" w:rsidRDefault="0083290F" w:rsidP="0083290F">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3F94F3" id="_x0000_s1027" style="position:absolute;margin-left:327.35pt;margin-top:39.2pt;width:131.2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" filled="f" stroked="f">
              <v:textbox style="mso-fit-shape-to-text:t">
                <w:txbxContent>
                  <w:p w14:paraId="722E4CFA" w14:textId="77777777" w:rsidR="0083290F" w:rsidRPr="00890F9D" w:rsidRDefault="0083290F" w:rsidP="0083290F">
                    <w:pPr>
                      <w:pStyle w:val="NormalWeb"/>
                      <w:spacing w:before="0" w:beforeAutospacing="0" w:after="0" w:afterAutospacing="0"/>
                      <w:jc w:val="center"/>
                      <w:rPr>
                        <w:b/>
                        <w:sz w:val="16"/>
                        <w:szCs w:val="16"/>
                      </w:rPr>
                    </w:pPr>
                  </w:p>
                </w:txbxContent>
              </v:textbox>
            </v:rect>
          </w:pict>
        </mc:Fallback>
      </mc:AlternateContent>
    </w:r>
    <w:r w:rsidR="00CC48A4">
      <w:rPr>
        <w:rFonts w:ascii="Times New Roman" w:hAnsi="Times New Roman" w:cs="Times New Roman"/>
        <w:b/>
        <w:color w:val="244061" w:themeColor="accent1" w:themeShade="80"/>
      </w:rPr>
      <w:t xml:space="preserve">        </w:t>
    </w:r>
    <w:bookmarkStart w:id="6" w:name="_GoBack"/>
    <w:bookmarkEnd w:id="6"/>
    <w:r w:rsidR="00E018C7" w:rsidRPr="00B03047">
      <w:rPr>
        <w:rFonts w:ascii="Times New Roman" w:hAnsi="Times New Roman" w:cs="Times New Roman"/>
        <w:b/>
        <w:color w:val="244061" w:themeColor="accent1" w:themeShade="80"/>
      </w:rPr>
      <w:t>Fond solidarnosti Europske unije</w:t>
    </w:r>
  </w:p>
  <w:p w14:paraId="015A2686" w14:textId="77777777" w:rsidR="0083290F" w:rsidRDefault="008329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9252C91"/>
    <w:multiLevelType w:val="hybridMultilevel"/>
    <w:tmpl w:val="D4F42A5E"/>
    <w:lvl w:ilvl="0" w:tplc="557E5344">
      <w:start w:val="2"/>
      <w:numFmt w:val="bullet"/>
      <w:lvlText w:val=""/>
      <w:lvlJc w:val="left"/>
      <w:pPr>
        <w:ind w:left="1065" w:hanging="705"/>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BAF19AA"/>
    <w:multiLevelType w:val="hybridMultilevel"/>
    <w:tmpl w:val="7FD82062"/>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FEB0013"/>
    <w:multiLevelType w:val="hybridMultilevel"/>
    <w:tmpl w:val="82F213E6"/>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D76FEC"/>
    <w:multiLevelType w:val="hybridMultilevel"/>
    <w:tmpl w:val="FDBA7706"/>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6B11466"/>
    <w:multiLevelType w:val="hybridMultilevel"/>
    <w:tmpl w:val="9342D4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67A21AD"/>
    <w:multiLevelType w:val="hybridMultilevel"/>
    <w:tmpl w:val="FC9CA3BA"/>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9A51214"/>
    <w:multiLevelType w:val="hybridMultilevel"/>
    <w:tmpl w:val="6CD8293A"/>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32"/>
  </w:num>
  <w:num w:numId="4">
    <w:abstractNumId w:val="0"/>
  </w:num>
  <w:num w:numId="5">
    <w:abstractNumId w:val="7"/>
  </w:num>
  <w:num w:numId="6">
    <w:abstractNumId w:val="19"/>
  </w:num>
  <w:num w:numId="7">
    <w:abstractNumId w:val="1"/>
  </w:num>
  <w:num w:numId="8">
    <w:abstractNumId w:val="6"/>
  </w:num>
  <w:num w:numId="9">
    <w:abstractNumId w:val="13"/>
  </w:num>
  <w:num w:numId="10">
    <w:abstractNumId w:val="4"/>
  </w:num>
  <w:num w:numId="11">
    <w:abstractNumId w:val="17"/>
  </w:num>
  <w:num w:numId="12">
    <w:abstractNumId w:val="5"/>
  </w:num>
  <w:num w:numId="13">
    <w:abstractNumId w:val="21"/>
  </w:num>
  <w:num w:numId="14">
    <w:abstractNumId w:val="29"/>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6"/>
  </w:num>
  <w:num w:numId="21">
    <w:abstractNumId w:val="31"/>
  </w:num>
  <w:num w:numId="22">
    <w:abstractNumId w:val="8"/>
  </w:num>
  <w:num w:numId="23">
    <w:abstractNumId w:val="22"/>
  </w:num>
  <w:num w:numId="24">
    <w:abstractNumId w:val="3"/>
  </w:num>
  <w:num w:numId="25">
    <w:abstractNumId w:val="26"/>
  </w:num>
  <w:num w:numId="26">
    <w:abstractNumId w:val="30"/>
  </w:num>
  <w:num w:numId="27">
    <w:abstractNumId w:val="12"/>
  </w:num>
  <w:num w:numId="28">
    <w:abstractNumId w:val="20"/>
  </w:num>
  <w:num w:numId="29">
    <w:abstractNumId w:val="23"/>
  </w:num>
  <w:num w:numId="30">
    <w:abstractNumId w:val="10"/>
  </w:num>
  <w:num w:numId="31">
    <w:abstractNumId w:val="27"/>
  </w:num>
  <w:num w:numId="32">
    <w:abstractNumId w:val="1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54D9"/>
    <w:rsid w:val="00027BA9"/>
    <w:rsid w:val="00033A6F"/>
    <w:rsid w:val="00040B3A"/>
    <w:rsid w:val="00041744"/>
    <w:rsid w:val="000427C8"/>
    <w:rsid w:val="0004454F"/>
    <w:rsid w:val="00054D83"/>
    <w:rsid w:val="0006196C"/>
    <w:rsid w:val="000626AB"/>
    <w:rsid w:val="0006498B"/>
    <w:rsid w:val="0006552C"/>
    <w:rsid w:val="000675C0"/>
    <w:rsid w:val="000823C1"/>
    <w:rsid w:val="00083D70"/>
    <w:rsid w:val="000870D2"/>
    <w:rsid w:val="000917AF"/>
    <w:rsid w:val="00096401"/>
    <w:rsid w:val="00097826"/>
    <w:rsid w:val="000A010F"/>
    <w:rsid w:val="000A0258"/>
    <w:rsid w:val="000C223F"/>
    <w:rsid w:val="000C46DD"/>
    <w:rsid w:val="000C4B83"/>
    <w:rsid w:val="000C65B2"/>
    <w:rsid w:val="000C724A"/>
    <w:rsid w:val="000D1EAA"/>
    <w:rsid w:val="000D620D"/>
    <w:rsid w:val="000D62AD"/>
    <w:rsid w:val="000D665E"/>
    <w:rsid w:val="000E0A7C"/>
    <w:rsid w:val="000E2C0C"/>
    <w:rsid w:val="001148FE"/>
    <w:rsid w:val="00115FF7"/>
    <w:rsid w:val="00116B24"/>
    <w:rsid w:val="00121122"/>
    <w:rsid w:val="00136062"/>
    <w:rsid w:val="00142EEA"/>
    <w:rsid w:val="001434E2"/>
    <w:rsid w:val="00143D9B"/>
    <w:rsid w:val="00144B48"/>
    <w:rsid w:val="0014602E"/>
    <w:rsid w:val="00160BF8"/>
    <w:rsid w:val="00166250"/>
    <w:rsid w:val="001677AC"/>
    <w:rsid w:val="0017692C"/>
    <w:rsid w:val="00182930"/>
    <w:rsid w:val="00193C41"/>
    <w:rsid w:val="00197C5F"/>
    <w:rsid w:val="001B564C"/>
    <w:rsid w:val="001D351E"/>
    <w:rsid w:val="001D53E3"/>
    <w:rsid w:val="001F22EA"/>
    <w:rsid w:val="001F6CE9"/>
    <w:rsid w:val="00201472"/>
    <w:rsid w:val="002071A0"/>
    <w:rsid w:val="002204CD"/>
    <w:rsid w:val="00224762"/>
    <w:rsid w:val="00230969"/>
    <w:rsid w:val="0024417E"/>
    <w:rsid w:val="00266026"/>
    <w:rsid w:val="002727E8"/>
    <w:rsid w:val="00287B12"/>
    <w:rsid w:val="00287D34"/>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3C83"/>
    <w:rsid w:val="002F3AB9"/>
    <w:rsid w:val="002F58B3"/>
    <w:rsid w:val="002F5F27"/>
    <w:rsid w:val="00304567"/>
    <w:rsid w:val="00305153"/>
    <w:rsid w:val="00313D5A"/>
    <w:rsid w:val="003225ED"/>
    <w:rsid w:val="00325AD4"/>
    <w:rsid w:val="00332F52"/>
    <w:rsid w:val="00342013"/>
    <w:rsid w:val="00344193"/>
    <w:rsid w:val="00345139"/>
    <w:rsid w:val="0034536A"/>
    <w:rsid w:val="00352104"/>
    <w:rsid w:val="00374C03"/>
    <w:rsid w:val="00376552"/>
    <w:rsid w:val="00383930"/>
    <w:rsid w:val="003869A6"/>
    <w:rsid w:val="00391575"/>
    <w:rsid w:val="003916D0"/>
    <w:rsid w:val="00395321"/>
    <w:rsid w:val="003C60CF"/>
    <w:rsid w:val="003E3836"/>
    <w:rsid w:val="003E3D3A"/>
    <w:rsid w:val="003E68DC"/>
    <w:rsid w:val="003F1477"/>
    <w:rsid w:val="003F3A4E"/>
    <w:rsid w:val="003F5CC1"/>
    <w:rsid w:val="0041275F"/>
    <w:rsid w:val="00417AE5"/>
    <w:rsid w:val="004247C4"/>
    <w:rsid w:val="004263FE"/>
    <w:rsid w:val="00431301"/>
    <w:rsid w:val="00436414"/>
    <w:rsid w:val="004366AB"/>
    <w:rsid w:val="004377AC"/>
    <w:rsid w:val="00442D8E"/>
    <w:rsid w:val="00444504"/>
    <w:rsid w:val="004509A8"/>
    <w:rsid w:val="00451F28"/>
    <w:rsid w:val="004539C3"/>
    <w:rsid w:val="0045537A"/>
    <w:rsid w:val="00455622"/>
    <w:rsid w:val="00460789"/>
    <w:rsid w:val="00461459"/>
    <w:rsid w:val="00464415"/>
    <w:rsid w:val="00466808"/>
    <w:rsid w:val="00473148"/>
    <w:rsid w:val="004868E9"/>
    <w:rsid w:val="004908EA"/>
    <w:rsid w:val="004A2899"/>
    <w:rsid w:val="004B3184"/>
    <w:rsid w:val="004B3A61"/>
    <w:rsid w:val="004C1DF3"/>
    <w:rsid w:val="004C504C"/>
    <w:rsid w:val="004D05E9"/>
    <w:rsid w:val="004D44CD"/>
    <w:rsid w:val="004D47FF"/>
    <w:rsid w:val="004D7CAB"/>
    <w:rsid w:val="004E2371"/>
    <w:rsid w:val="004E2620"/>
    <w:rsid w:val="004F28A8"/>
    <w:rsid w:val="004F5B7B"/>
    <w:rsid w:val="005029D5"/>
    <w:rsid w:val="00502C76"/>
    <w:rsid w:val="00503335"/>
    <w:rsid w:val="00506288"/>
    <w:rsid w:val="005066A0"/>
    <w:rsid w:val="00513A95"/>
    <w:rsid w:val="005157BC"/>
    <w:rsid w:val="005176D5"/>
    <w:rsid w:val="005262F0"/>
    <w:rsid w:val="00534C2D"/>
    <w:rsid w:val="00536422"/>
    <w:rsid w:val="005400B8"/>
    <w:rsid w:val="00544299"/>
    <w:rsid w:val="00544B37"/>
    <w:rsid w:val="005458AE"/>
    <w:rsid w:val="00551A73"/>
    <w:rsid w:val="0055423C"/>
    <w:rsid w:val="00557335"/>
    <w:rsid w:val="00557E86"/>
    <w:rsid w:val="00564147"/>
    <w:rsid w:val="00571BDD"/>
    <w:rsid w:val="00572151"/>
    <w:rsid w:val="00572D5D"/>
    <w:rsid w:val="00574F50"/>
    <w:rsid w:val="00575256"/>
    <w:rsid w:val="00591ABF"/>
    <w:rsid w:val="00592E3E"/>
    <w:rsid w:val="00597556"/>
    <w:rsid w:val="005A349F"/>
    <w:rsid w:val="005B7004"/>
    <w:rsid w:val="005C2A98"/>
    <w:rsid w:val="005F42BA"/>
    <w:rsid w:val="0060049A"/>
    <w:rsid w:val="00601DE6"/>
    <w:rsid w:val="00602FC7"/>
    <w:rsid w:val="006112B5"/>
    <w:rsid w:val="00614123"/>
    <w:rsid w:val="0061749C"/>
    <w:rsid w:val="00620D44"/>
    <w:rsid w:val="00641B94"/>
    <w:rsid w:val="0064609E"/>
    <w:rsid w:val="00650376"/>
    <w:rsid w:val="00656D3E"/>
    <w:rsid w:val="00666573"/>
    <w:rsid w:val="00671D71"/>
    <w:rsid w:val="006754F1"/>
    <w:rsid w:val="00675B8A"/>
    <w:rsid w:val="006817F2"/>
    <w:rsid w:val="00683AE5"/>
    <w:rsid w:val="006975D5"/>
    <w:rsid w:val="006A3858"/>
    <w:rsid w:val="006A567E"/>
    <w:rsid w:val="006B0E57"/>
    <w:rsid w:val="006B3F2F"/>
    <w:rsid w:val="006B7008"/>
    <w:rsid w:val="006D5475"/>
    <w:rsid w:val="006D68F8"/>
    <w:rsid w:val="006E0DC7"/>
    <w:rsid w:val="006F2DF5"/>
    <w:rsid w:val="006F4746"/>
    <w:rsid w:val="006F51BC"/>
    <w:rsid w:val="0070722A"/>
    <w:rsid w:val="007074CF"/>
    <w:rsid w:val="0071385D"/>
    <w:rsid w:val="00722776"/>
    <w:rsid w:val="0072778E"/>
    <w:rsid w:val="007345D0"/>
    <w:rsid w:val="0075012D"/>
    <w:rsid w:val="00756337"/>
    <w:rsid w:val="007615BA"/>
    <w:rsid w:val="007623D7"/>
    <w:rsid w:val="00762BFD"/>
    <w:rsid w:val="00773EB9"/>
    <w:rsid w:val="0077692F"/>
    <w:rsid w:val="00782F1C"/>
    <w:rsid w:val="00785552"/>
    <w:rsid w:val="00793E97"/>
    <w:rsid w:val="007947FB"/>
    <w:rsid w:val="00796FA0"/>
    <w:rsid w:val="007A2544"/>
    <w:rsid w:val="007A51C9"/>
    <w:rsid w:val="007A5676"/>
    <w:rsid w:val="007A7574"/>
    <w:rsid w:val="007B2E91"/>
    <w:rsid w:val="007C23D9"/>
    <w:rsid w:val="007C3AD9"/>
    <w:rsid w:val="007C7BC6"/>
    <w:rsid w:val="007D61C0"/>
    <w:rsid w:val="007E1F7F"/>
    <w:rsid w:val="007E504A"/>
    <w:rsid w:val="007E7199"/>
    <w:rsid w:val="007F269B"/>
    <w:rsid w:val="007F30F9"/>
    <w:rsid w:val="00815D76"/>
    <w:rsid w:val="008164F1"/>
    <w:rsid w:val="00816527"/>
    <w:rsid w:val="00817C7E"/>
    <w:rsid w:val="0082221A"/>
    <w:rsid w:val="00823BAB"/>
    <w:rsid w:val="00830E77"/>
    <w:rsid w:val="0083290B"/>
    <w:rsid w:val="0083290F"/>
    <w:rsid w:val="00832BB7"/>
    <w:rsid w:val="0083547E"/>
    <w:rsid w:val="00840C3E"/>
    <w:rsid w:val="008445DA"/>
    <w:rsid w:val="00845F0C"/>
    <w:rsid w:val="00853360"/>
    <w:rsid w:val="00865999"/>
    <w:rsid w:val="00865D3D"/>
    <w:rsid w:val="00866F03"/>
    <w:rsid w:val="008778CF"/>
    <w:rsid w:val="008924FD"/>
    <w:rsid w:val="00894804"/>
    <w:rsid w:val="00894854"/>
    <w:rsid w:val="008A0B2A"/>
    <w:rsid w:val="008A185F"/>
    <w:rsid w:val="008B42E0"/>
    <w:rsid w:val="008C306A"/>
    <w:rsid w:val="008D3459"/>
    <w:rsid w:val="008D421D"/>
    <w:rsid w:val="008D52FB"/>
    <w:rsid w:val="008D718A"/>
    <w:rsid w:val="0090490B"/>
    <w:rsid w:val="009116EF"/>
    <w:rsid w:val="0091179C"/>
    <w:rsid w:val="00913FA6"/>
    <w:rsid w:val="009248FD"/>
    <w:rsid w:val="00925265"/>
    <w:rsid w:val="00932ADD"/>
    <w:rsid w:val="00932B4C"/>
    <w:rsid w:val="0093349F"/>
    <w:rsid w:val="009534DC"/>
    <w:rsid w:val="00954908"/>
    <w:rsid w:val="00957412"/>
    <w:rsid w:val="00966853"/>
    <w:rsid w:val="00967FB4"/>
    <w:rsid w:val="00973005"/>
    <w:rsid w:val="0098132E"/>
    <w:rsid w:val="00983CB5"/>
    <w:rsid w:val="00987482"/>
    <w:rsid w:val="00991718"/>
    <w:rsid w:val="009A296D"/>
    <w:rsid w:val="009A6771"/>
    <w:rsid w:val="009B48B6"/>
    <w:rsid w:val="009B53CE"/>
    <w:rsid w:val="009C1DEC"/>
    <w:rsid w:val="009C2EA5"/>
    <w:rsid w:val="009C31AF"/>
    <w:rsid w:val="009C7E41"/>
    <w:rsid w:val="009D52A2"/>
    <w:rsid w:val="009E0060"/>
    <w:rsid w:val="009E29E2"/>
    <w:rsid w:val="009E68AE"/>
    <w:rsid w:val="009F004E"/>
    <w:rsid w:val="009F7EF9"/>
    <w:rsid w:val="00A10C02"/>
    <w:rsid w:val="00A13176"/>
    <w:rsid w:val="00A13ADD"/>
    <w:rsid w:val="00A149E4"/>
    <w:rsid w:val="00A21798"/>
    <w:rsid w:val="00A21C80"/>
    <w:rsid w:val="00A25DFA"/>
    <w:rsid w:val="00A2679B"/>
    <w:rsid w:val="00A30808"/>
    <w:rsid w:val="00A31144"/>
    <w:rsid w:val="00A3257E"/>
    <w:rsid w:val="00A3383B"/>
    <w:rsid w:val="00A3557E"/>
    <w:rsid w:val="00A36323"/>
    <w:rsid w:val="00A4028A"/>
    <w:rsid w:val="00A50085"/>
    <w:rsid w:val="00A55030"/>
    <w:rsid w:val="00A56B4C"/>
    <w:rsid w:val="00A70D13"/>
    <w:rsid w:val="00A715DE"/>
    <w:rsid w:val="00A736F1"/>
    <w:rsid w:val="00A76609"/>
    <w:rsid w:val="00A771E3"/>
    <w:rsid w:val="00A82740"/>
    <w:rsid w:val="00A90A07"/>
    <w:rsid w:val="00A9725E"/>
    <w:rsid w:val="00AA42A4"/>
    <w:rsid w:val="00AB3E3E"/>
    <w:rsid w:val="00AB43AC"/>
    <w:rsid w:val="00AD0487"/>
    <w:rsid w:val="00AD738C"/>
    <w:rsid w:val="00AE09F8"/>
    <w:rsid w:val="00AE68AF"/>
    <w:rsid w:val="00AE6B6D"/>
    <w:rsid w:val="00AF2339"/>
    <w:rsid w:val="00AF7FB1"/>
    <w:rsid w:val="00B00DFA"/>
    <w:rsid w:val="00B01E82"/>
    <w:rsid w:val="00B03C92"/>
    <w:rsid w:val="00B03FEC"/>
    <w:rsid w:val="00B12B88"/>
    <w:rsid w:val="00B208D5"/>
    <w:rsid w:val="00B20D90"/>
    <w:rsid w:val="00B30414"/>
    <w:rsid w:val="00B341D0"/>
    <w:rsid w:val="00B349B7"/>
    <w:rsid w:val="00B426F0"/>
    <w:rsid w:val="00B44F01"/>
    <w:rsid w:val="00B4520A"/>
    <w:rsid w:val="00B455FD"/>
    <w:rsid w:val="00B5062E"/>
    <w:rsid w:val="00B53360"/>
    <w:rsid w:val="00B62BD8"/>
    <w:rsid w:val="00B640DB"/>
    <w:rsid w:val="00B64C40"/>
    <w:rsid w:val="00B65F5E"/>
    <w:rsid w:val="00B728C7"/>
    <w:rsid w:val="00B73611"/>
    <w:rsid w:val="00B77DF4"/>
    <w:rsid w:val="00B83B20"/>
    <w:rsid w:val="00B852B1"/>
    <w:rsid w:val="00B860DD"/>
    <w:rsid w:val="00B90DE5"/>
    <w:rsid w:val="00B91769"/>
    <w:rsid w:val="00B91FD8"/>
    <w:rsid w:val="00B96281"/>
    <w:rsid w:val="00BA4BD5"/>
    <w:rsid w:val="00BC30A8"/>
    <w:rsid w:val="00BC65DF"/>
    <w:rsid w:val="00BD0C09"/>
    <w:rsid w:val="00BD5D24"/>
    <w:rsid w:val="00BD6009"/>
    <w:rsid w:val="00BE78D0"/>
    <w:rsid w:val="00BF57B0"/>
    <w:rsid w:val="00BF6309"/>
    <w:rsid w:val="00C122C7"/>
    <w:rsid w:val="00C13468"/>
    <w:rsid w:val="00C13768"/>
    <w:rsid w:val="00C17D6E"/>
    <w:rsid w:val="00C20F0F"/>
    <w:rsid w:val="00C240DB"/>
    <w:rsid w:val="00C3378A"/>
    <w:rsid w:val="00C34C32"/>
    <w:rsid w:val="00C4348F"/>
    <w:rsid w:val="00C464A0"/>
    <w:rsid w:val="00C46EF0"/>
    <w:rsid w:val="00C66B51"/>
    <w:rsid w:val="00C67F64"/>
    <w:rsid w:val="00C73A6A"/>
    <w:rsid w:val="00C746C3"/>
    <w:rsid w:val="00C81371"/>
    <w:rsid w:val="00C8714E"/>
    <w:rsid w:val="00C93B4F"/>
    <w:rsid w:val="00C9412B"/>
    <w:rsid w:val="00CA07B3"/>
    <w:rsid w:val="00CA37F0"/>
    <w:rsid w:val="00CA409E"/>
    <w:rsid w:val="00CA5F82"/>
    <w:rsid w:val="00CA65F6"/>
    <w:rsid w:val="00CB2010"/>
    <w:rsid w:val="00CB2C75"/>
    <w:rsid w:val="00CC0689"/>
    <w:rsid w:val="00CC48A4"/>
    <w:rsid w:val="00CD27BF"/>
    <w:rsid w:val="00CD449E"/>
    <w:rsid w:val="00CE2548"/>
    <w:rsid w:val="00CE5C3F"/>
    <w:rsid w:val="00CF65B0"/>
    <w:rsid w:val="00D02EAD"/>
    <w:rsid w:val="00D12C0D"/>
    <w:rsid w:val="00D354CA"/>
    <w:rsid w:val="00D35AA5"/>
    <w:rsid w:val="00D41EF7"/>
    <w:rsid w:val="00D432CB"/>
    <w:rsid w:val="00D5238C"/>
    <w:rsid w:val="00D54616"/>
    <w:rsid w:val="00D62B7C"/>
    <w:rsid w:val="00D62EDB"/>
    <w:rsid w:val="00D630E6"/>
    <w:rsid w:val="00D63DA8"/>
    <w:rsid w:val="00D75079"/>
    <w:rsid w:val="00D76263"/>
    <w:rsid w:val="00D76FAE"/>
    <w:rsid w:val="00D77F97"/>
    <w:rsid w:val="00D812BE"/>
    <w:rsid w:val="00D8459A"/>
    <w:rsid w:val="00D90345"/>
    <w:rsid w:val="00D91A20"/>
    <w:rsid w:val="00DA19AF"/>
    <w:rsid w:val="00DA596E"/>
    <w:rsid w:val="00DB183D"/>
    <w:rsid w:val="00DB4CC8"/>
    <w:rsid w:val="00DC05D9"/>
    <w:rsid w:val="00DC17E3"/>
    <w:rsid w:val="00DC72A5"/>
    <w:rsid w:val="00DD2C31"/>
    <w:rsid w:val="00DE27FA"/>
    <w:rsid w:val="00DE3F8D"/>
    <w:rsid w:val="00DE604B"/>
    <w:rsid w:val="00DF0D75"/>
    <w:rsid w:val="00DF2192"/>
    <w:rsid w:val="00DF2711"/>
    <w:rsid w:val="00DF2C84"/>
    <w:rsid w:val="00DF65AC"/>
    <w:rsid w:val="00E018C7"/>
    <w:rsid w:val="00E026F1"/>
    <w:rsid w:val="00E142EE"/>
    <w:rsid w:val="00E162D6"/>
    <w:rsid w:val="00E21ACE"/>
    <w:rsid w:val="00E23FD1"/>
    <w:rsid w:val="00E261CB"/>
    <w:rsid w:val="00E26DC8"/>
    <w:rsid w:val="00E37015"/>
    <w:rsid w:val="00E370D9"/>
    <w:rsid w:val="00E42378"/>
    <w:rsid w:val="00E425A1"/>
    <w:rsid w:val="00E4512C"/>
    <w:rsid w:val="00E4676F"/>
    <w:rsid w:val="00E50B20"/>
    <w:rsid w:val="00E512A2"/>
    <w:rsid w:val="00E513C9"/>
    <w:rsid w:val="00E5152A"/>
    <w:rsid w:val="00E550BE"/>
    <w:rsid w:val="00E55850"/>
    <w:rsid w:val="00E653A9"/>
    <w:rsid w:val="00E70920"/>
    <w:rsid w:val="00E72426"/>
    <w:rsid w:val="00E8384D"/>
    <w:rsid w:val="00E935B0"/>
    <w:rsid w:val="00E95D34"/>
    <w:rsid w:val="00E96E36"/>
    <w:rsid w:val="00E97904"/>
    <w:rsid w:val="00EA17C2"/>
    <w:rsid w:val="00EA4E90"/>
    <w:rsid w:val="00EA6501"/>
    <w:rsid w:val="00EC4A16"/>
    <w:rsid w:val="00EC5FCA"/>
    <w:rsid w:val="00ED4F49"/>
    <w:rsid w:val="00EE1EB3"/>
    <w:rsid w:val="00EE5A6E"/>
    <w:rsid w:val="00EE5B30"/>
    <w:rsid w:val="00EE6D16"/>
    <w:rsid w:val="00EF200A"/>
    <w:rsid w:val="00EF6DA9"/>
    <w:rsid w:val="00F006F6"/>
    <w:rsid w:val="00F040F7"/>
    <w:rsid w:val="00F045C5"/>
    <w:rsid w:val="00F14AE7"/>
    <w:rsid w:val="00F239D2"/>
    <w:rsid w:val="00F33796"/>
    <w:rsid w:val="00F532A7"/>
    <w:rsid w:val="00F53539"/>
    <w:rsid w:val="00F53E56"/>
    <w:rsid w:val="00F55A6A"/>
    <w:rsid w:val="00F61FB6"/>
    <w:rsid w:val="00F67C3B"/>
    <w:rsid w:val="00F70B9E"/>
    <w:rsid w:val="00F71CA7"/>
    <w:rsid w:val="00F73FEE"/>
    <w:rsid w:val="00F746B5"/>
    <w:rsid w:val="00F75088"/>
    <w:rsid w:val="00F81B9D"/>
    <w:rsid w:val="00F8549A"/>
    <w:rsid w:val="00F906CC"/>
    <w:rsid w:val="00FA1EE7"/>
    <w:rsid w:val="00FA2D3D"/>
    <w:rsid w:val="00FB3C52"/>
    <w:rsid w:val="00FB4034"/>
    <w:rsid w:val="00FC234F"/>
    <w:rsid w:val="00FC3798"/>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1"/>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paragraph" w:styleId="NormalWeb">
    <w:name w:val="Normal (Web)"/>
    <w:basedOn w:val="Normal"/>
    <w:uiPriority w:val="99"/>
    <w:rsid w:val="002071A0"/>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DefaultParagraphFont"/>
    <w:rsid w:val="00DF65AC"/>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8D3459"/>
    <w:rPr>
      <w:rFonts w:eastAsiaTheme="minorHAnsi"/>
      <w:lang w:eastAsia="en-US"/>
    </w:rPr>
  </w:style>
  <w:style w:type="paragraph" w:customStyle="1" w:styleId="Normal1">
    <w:name w:val="Normal1"/>
    <w:basedOn w:val="Normal"/>
    <w:semiHidden/>
    <w:rsid w:val="004C504C"/>
    <w:pPr>
      <w:spacing w:before="120" w:after="120" w:line="260" w:lineRule="atLeast"/>
      <w:jc w:val="both"/>
    </w:pPr>
    <w:rPr>
      <w:rFonts w:ascii="Calibri" w:eastAsia="Calibri" w:hAnsi="Calibri" w:cs="Times New Roman"/>
      <w:lang w:val="en-GB" w:eastAsia="en-GB"/>
    </w:rPr>
  </w:style>
  <w:style w:type="paragraph" w:customStyle="1" w:styleId="TableParagraph">
    <w:name w:val="Table Paragraph"/>
    <w:basedOn w:val="Normal"/>
    <w:uiPriority w:val="1"/>
    <w:qFormat/>
    <w:rsid w:val="00C46EF0"/>
    <w:rPr>
      <w:lang w:eastAsia="en-US"/>
    </w:rPr>
  </w:style>
  <w:style w:type="character" w:customStyle="1" w:styleId="ZaglavljeChar">
    <w:name w:val="Zaglavlje Char"/>
    <w:basedOn w:val="DefaultParagraphFont"/>
    <w:link w:val="Zaglavlje1"/>
    <w:uiPriority w:val="99"/>
    <w:rsid w:val="0083290F"/>
    <w:rPr>
      <w:sz w:val="24"/>
      <w:szCs w:val="24"/>
      <w:lang w:eastAsia="sl-SI"/>
    </w:rPr>
  </w:style>
  <w:style w:type="paragraph" w:customStyle="1" w:styleId="Zaglavlje1">
    <w:name w:val="Zaglavlje1"/>
    <w:basedOn w:val="Normal"/>
    <w:link w:val="ZaglavljeChar"/>
    <w:uiPriority w:val="99"/>
    <w:unhideWhenUsed/>
    <w:rsid w:val="0083290F"/>
    <w:pPr>
      <w:tabs>
        <w:tab w:val="center" w:pos="4536"/>
        <w:tab w:val="right" w:pos="9072"/>
      </w:tabs>
      <w:suppressAutoHyphens/>
      <w:spacing w:after="0" w:line="240" w:lineRule="auto"/>
    </w:pPr>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1.docx"/><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8" ma:contentTypeDescription="Stvaranje novog dokumenta." ma:contentTypeScope="" ma:versionID="aa04cc18d83d3cb8a97783632d490763">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cb0d4a5c7adaae1cce681c156d37a55e"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3BC46-9B2B-4ACD-AF3A-383F4836288D}"/>
</file>

<file path=customXml/itemProps2.xml><?xml version="1.0" encoding="utf-8"?>
<ds:datastoreItem xmlns:ds="http://schemas.openxmlformats.org/officeDocument/2006/customXml" ds:itemID="{87CE3856-412F-480C-B5D8-64BC34DC92D2}">
  <ds:schemaRefs>
    <ds:schemaRef ds:uri="http://schemas.microsoft.com/sharepoint/v3/contenttype/forms"/>
  </ds:schemaRefs>
</ds:datastoreItem>
</file>

<file path=customXml/itemProps3.xml><?xml version="1.0" encoding="utf-8"?>
<ds:datastoreItem xmlns:ds="http://schemas.openxmlformats.org/officeDocument/2006/customXml" ds:itemID="{508D4FC9-51C7-431B-BFD3-AA96997204BE}">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customXml/itemProps4.xml><?xml version="1.0" encoding="utf-8"?>
<ds:datastoreItem xmlns:ds="http://schemas.openxmlformats.org/officeDocument/2006/customXml" ds:itemID="{998367DD-C7F4-4DCB-ACC0-0A4F8C55B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1586</Words>
  <Characters>9041</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Kristina Zloušić Iđaković</cp:lastModifiedBy>
  <cp:revision>19</cp:revision>
  <cp:lastPrinted>2019-03-20T11:15:00Z</cp:lastPrinted>
  <dcterms:created xsi:type="dcterms:W3CDTF">2023-05-10T09:26:00Z</dcterms:created>
  <dcterms:modified xsi:type="dcterms:W3CDTF">2023-06-16T09:17:00Z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