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9423" w14:textId="77777777" w:rsidR="006874A2" w:rsidRPr="006874A2" w:rsidRDefault="006874A2" w:rsidP="006874A2">
      <w:pPr>
        <w:rPr>
          <w:sz w:val="21"/>
          <w:szCs w:val="21"/>
          <w:u w:val="single"/>
        </w:rPr>
      </w:pPr>
      <w:r w:rsidRPr="006874A2">
        <w:rPr>
          <w:rFonts w:eastAsia="Times New Roman" w:cstheme="minorHAnsi"/>
          <w:b/>
          <w:sz w:val="21"/>
          <w:szCs w:val="21"/>
          <w:u w:val="single"/>
          <w:shd w:val="clear" w:color="auto" w:fill="FFFFFF"/>
          <w:lang w:eastAsia="hr-HR"/>
        </w:rPr>
        <w:t xml:space="preserve">VIZUALNE UMJETNOSTI </w:t>
      </w:r>
    </w:p>
    <w:p w14:paraId="3051C63A" w14:textId="12CDACCC" w:rsidR="006874A2" w:rsidRDefault="006874A2" w:rsidP="006874A2">
      <w:pPr>
        <w:rPr>
          <w:rFonts w:eastAsia="Times New Roman" w:cstheme="minorHAnsi"/>
          <w:b/>
          <w:sz w:val="21"/>
          <w:szCs w:val="21"/>
          <w:shd w:val="clear" w:color="auto" w:fill="FFFFFF"/>
          <w:lang w:eastAsia="hr-HR"/>
        </w:rPr>
      </w:pPr>
      <w:r>
        <w:rPr>
          <w:rFonts w:eastAsia="Times New Roman" w:cstheme="minorHAnsi"/>
          <w:b/>
          <w:sz w:val="21"/>
          <w:szCs w:val="21"/>
          <w:shd w:val="clear" w:color="auto" w:fill="FFFFFF"/>
          <w:lang w:eastAsia="hr-HR"/>
        </w:rPr>
        <w:t>Na</w:t>
      </w:r>
      <w:r>
        <w:rPr>
          <w:rFonts w:eastAsia="Times New Roman" w:cstheme="minorHAnsi"/>
          <w:b/>
          <w:i/>
          <w:sz w:val="21"/>
          <w:szCs w:val="21"/>
          <w:shd w:val="clear" w:color="auto" w:fill="FFFFFF"/>
          <w:lang w:eastAsia="hr-HR"/>
        </w:rPr>
        <w:t xml:space="preserve"> Javni poziv za predlaganje javnih potreba u kulturi Republike Hrvatske za 2023. godinu</w:t>
      </w:r>
      <w:r>
        <w:rPr>
          <w:rFonts w:eastAsia="Times New Roman" w:cstheme="minorHAnsi"/>
          <w:b/>
          <w:sz w:val="21"/>
          <w:szCs w:val="21"/>
          <w:shd w:val="clear" w:color="auto" w:fill="FFFFFF"/>
          <w:lang w:eastAsia="hr-HR"/>
        </w:rPr>
        <w:t xml:space="preserve"> u programskoj djelatnosti vizualnih umjetnosti pristiglo je ukupno 328 prijava, a za financiranje je odobreno 200 programa u iznosu od 5.194.000,00 kuna </w:t>
      </w:r>
      <w:r w:rsidR="006F4CB8">
        <w:rPr>
          <w:rFonts w:eastAsia="Times New Roman" w:cstheme="minorHAnsi"/>
          <w:b/>
          <w:sz w:val="21"/>
          <w:szCs w:val="21"/>
          <w:shd w:val="clear" w:color="auto" w:fill="FFFFFF"/>
          <w:lang w:eastAsia="hr-HR"/>
        </w:rPr>
        <w:t>(</w:t>
      </w:r>
      <w:r>
        <w:rPr>
          <w:rFonts w:eastAsia="Times New Roman" w:cstheme="minorHAnsi"/>
          <w:b/>
          <w:sz w:val="21"/>
          <w:szCs w:val="21"/>
          <w:shd w:val="clear" w:color="auto" w:fill="FFFFFF"/>
          <w:lang w:eastAsia="hr-HR"/>
        </w:rPr>
        <w:t>689.362,27 eura</w:t>
      </w:r>
      <w:r w:rsidR="006F4CB8">
        <w:rPr>
          <w:rFonts w:eastAsia="Times New Roman" w:cstheme="minorHAnsi"/>
          <w:b/>
          <w:sz w:val="21"/>
          <w:szCs w:val="21"/>
          <w:shd w:val="clear" w:color="auto" w:fill="FFFFFF"/>
          <w:lang w:eastAsia="hr-HR"/>
        </w:rPr>
        <w:t>)</w:t>
      </w:r>
      <w:r>
        <w:rPr>
          <w:rFonts w:eastAsia="Times New Roman" w:cstheme="minorHAnsi"/>
          <w:b/>
          <w:sz w:val="21"/>
          <w:szCs w:val="21"/>
          <w:shd w:val="clear" w:color="auto" w:fill="FFFFFF"/>
          <w:lang w:eastAsia="hr-HR"/>
        </w:rPr>
        <w:t xml:space="preserve">. </w:t>
      </w:r>
    </w:p>
    <w:p w14:paraId="2BEA4AF3" w14:textId="776AC8C6" w:rsidR="006874A2" w:rsidRDefault="006874A2" w:rsidP="006874A2">
      <w:pPr>
        <w:rPr>
          <w:rFonts w:cstheme="minorHAnsi"/>
          <w:b/>
          <w:spacing w:val="8"/>
          <w:sz w:val="16"/>
          <w:szCs w:val="16"/>
        </w:rPr>
      </w:pPr>
    </w:p>
    <w:p w14:paraId="564A1DF3" w14:textId="77777777" w:rsidR="006874A2" w:rsidRDefault="006874A2" w:rsidP="006874A2">
      <w:pPr>
        <w:rPr>
          <w:rFonts w:eastAsia="Times New Roman" w:cstheme="minorHAnsi"/>
          <w:sz w:val="21"/>
          <w:szCs w:val="21"/>
          <w:shd w:val="clear" w:color="auto" w:fill="FFFFFF"/>
          <w:lang w:eastAsia="hr-HR"/>
        </w:rPr>
      </w:pPr>
      <w:r>
        <w:rPr>
          <w:rFonts w:cstheme="minorHAnsi"/>
          <w:b/>
          <w:spacing w:val="8"/>
          <w:sz w:val="16"/>
          <w:szCs w:val="16"/>
        </w:rPr>
        <w:t xml:space="preserve">Prikaz 3. Odobrena sredstva za programe vizualnih umjetnosti u 2023. i 2022. godini </w:t>
      </w:r>
    </w:p>
    <w:p w14:paraId="746BCCAA" w14:textId="77777777" w:rsidR="006874A2" w:rsidRDefault="006874A2" w:rsidP="006874A2">
      <w:pPr>
        <w:jc w:val="center"/>
        <w:rPr>
          <w:rFonts w:cstheme="minorHAnsi"/>
          <w:b/>
          <w:spacing w:val="8"/>
          <w:sz w:val="16"/>
          <w:szCs w:val="16"/>
        </w:rPr>
      </w:pPr>
      <w:r>
        <w:rPr>
          <w:rFonts w:eastAsia="Times New Roman" w:cstheme="minorHAnsi"/>
          <w:noProof/>
          <w:sz w:val="21"/>
          <w:szCs w:val="21"/>
          <w:lang w:eastAsia="hr-HR"/>
        </w:rPr>
        <w:drawing>
          <wp:inline distT="0" distB="0" distL="0" distR="0" wp14:anchorId="3AD1A5B2" wp14:editId="17CE7E66">
            <wp:extent cx="631507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8A58" w14:textId="77777777" w:rsidR="006874A2" w:rsidRDefault="006874A2" w:rsidP="006874A2">
      <w:pPr>
        <w:jc w:val="center"/>
        <w:rPr>
          <w:rFonts w:cstheme="minorHAnsi"/>
          <w:b/>
          <w:spacing w:val="8"/>
          <w:sz w:val="16"/>
          <w:szCs w:val="16"/>
        </w:rPr>
      </w:pPr>
    </w:p>
    <w:p w14:paraId="5EA34415" w14:textId="77777777" w:rsidR="006874A2" w:rsidRDefault="006874A2" w:rsidP="006874A2">
      <w:pPr>
        <w:jc w:val="center"/>
        <w:rPr>
          <w:rFonts w:cstheme="minorHAnsi"/>
          <w:b/>
          <w:spacing w:val="8"/>
          <w:sz w:val="16"/>
          <w:szCs w:val="16"/>
        </w:rPr>
      </w:pPr>
    </w:p>
    <w:p w14:paraId="3877CBF8" w14:textId="77777777" w:rsidR="006874A2" w:rsidRDefault="006874A2" w:rsidP="006874A2">
      <w:pPr>
        <w:jc w:val="center"/>
      </w:pPr>
      <w:r>
        <w:rPr>
          <w:rFonts w:cstheme="minorHAnsi"/>
          <w:b/>
          <w:spacing w:val="8"/>
          <w:sz w:val="16"/>
          <w:szCs w:val="16"/>
        </w:rPr>
        <w:t>Prikaz 1. Broj podržanih programa vizualnih umjetnosti po potprogramskim djelatnostima u 2023. godini</w:t>
      </w:r>
    </w:p>
    <w:p w14:paraId="66D8C9F9" w14:textId="77777777" w:rsidR="006874A2" w:rsidRDefault="006874A2" w:rsidP="006874A2">
      <w:pPr>
        <w:jc w:val="center"/>
      </w:pPr>
      <w:r>
        <w:rPr>
          <w:b/>
          <w:noProof/>
          <w:color w:val="FF0000"/>
          <w:spacing w:val="8"/>
          <w:lang w:eastAsia="hr-HR"/>
        </w:rPr>
        <w:drawing>
          <wp:inline distT="0" distB="0" distL="0" distR="0" wp14:anchorId="67D3D5A3" wp14:editId="44B7AC1A">
            <wp:extent cx="3705225" cy="20288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C95057" w14:textId="77777777" w:rsidR="006874A2" w:rsidRDefault="006874A2" w:rsidP="006874A2">
      <w:pPr>
        <w:jc w:val="center"/>
      </w:pPr>
      <w:r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 xml:space="preserve">  </w:t>
      </w:r>
    </w:p>
    <w:p w14:paraId="371BEF40" w14:textId="77777777" w:rsidR="006874A2" w:rsidRDefault="006874A2" w:rsidP="006874A2">
      <w:pPr>
        <w:jc w:val="center"/>
      </w:pPr>
      <w:r>
        <w:rPr>
          <w:rFonts w:cstheme="minorHAnsi"/>
          <w:b/>
          <w:spacing w:val="8"/>
          <w:sz w:val="16"/>
          <w:szCs w:val="16"/>
        </w:rPr>
        <w:t>Prikaz 2. Raspodjela sredstava za programe vizualnih umjetnosti po potprogramskim djelatnostima u 2023. godini</w:t>
      </w:r>
    </w:p>
    <w:p w14:paraId="45B63554" w14:textId="77777777" w:rsidR="006874A2" w:rsidRDefault="006874A2" w:rsidP="006874A2">
      <w:pPr>
        <w:jc w:val="center"/>
      </w:pPr>
      <w:r>
        <w:rPr>
          <w:b/>
          <w:noProof/>
          <w:color w:val="FF0000"/>
          <w:spacing w:val="8"/>
          <w:lang w:eastAsia="hr-HR"/>
        </w:rPr>
        <w:drawing>
          <wp:inline distT="0" distB="0" distL="0" distR="0" wp14:anchorId="55522BC6" wp14:editId="4C662BF6">
            <wp:extent cx="6429375" cy="14763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28B180" w14:textId="77777777" w:rsidR="006874A2" w:rsidRDefault="006874A2" w:rsidP="006874A2">
      <w:pPr>
        <w:rPr>
          <w:rFonts w:cstheme="minorHAnsi"/>
          <w:bCs/>
        </w:rPr>
      </w:pPr>
    </w:p>
    <w:p w14:paraId="4129D01B" w14:textId="77777777" w:rsidR="006874A2" w:rsidRPr="006874A2" w:rsidRDefault="006874A2" w:rsidP="006874A2">
      <w:pPr>
        <w:rPr>
          <w:rFonts w:eastAsia="Times New Roman" w:cstheme="minorHAnsi"/>
          <w:sz w:val="21"/>
          <w:szCs w:val="21"/>
          <w:u w:val="single"/>
          <w:shd w:val="clear" w:color="auto" w:fill="FFFFFF"/>
          <w:lang w:eastAsia="hr-HR"/>
        </w:rPr>
      </w:pPr>
      <w:r w:rsidRPr="006874A2">
        <w:rPr>
          <w:rFonts w:eastAsia="Times New Roman" w:cstheme="minorHAnsi"/>
          <w:b/>
          <w:sz w:val="21"/>
          <w:szCs w:val="21"/>
          <w:u w:val="single"/>
          <w:shd w:val="clear" w:color="auto" w:fill="FFFFFF"/>
          <w:lang w:eastAsia="hr-HR"/>
        </w:rPr>
        <w:lastRenderedPageBreak/>
        <w:t>INTERDISCIPLINARNE I NOVE UMJETNIČKE PRAKSE</w:t>
      </w:r>
    </w:p>
    <w:p w14:paraId="28410C4C" w14:textId="50ADF267" w:rsidR="006F4CB8" w:rsidRDefault="006874A2" w:rsidP="006874A2">
      <w:pPr>
        <w:rPr>
          <w:rFonts w:eastAsia="Times New Roman" w:cstheme="minorHAnsi"/>
          <w:sz w:val="21"/>
          <w:szCs w:val="21"/>
          <w:shd w:val="clear" w:color="auto" w:fill="FFFFFF"/>
          <w:lang w:eastAsia="hr-HR"/>
        </w:rPr>
      </w:pPr>
      <w:r w:rsidRPr="006874A2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Na</w:t>
      </w:r>
      <w:r w:rsidRPr="006874A2">
        <w:rPr>
          <w:rFonts w:eastAsia="Times New Roman" w:cstheme="minorHAnsi"/>
          <w:i/>
          <w:sz w:val="21"/>
          <w:szCs w:val="21"/>
          <w:shd w:val="clear" w:color="auto" w:fill="FFFFFF"/>
          <w:lang w:eastAsia="hr-HR"/>
        </w:rPr>
        <w:t xml:space="preserve"> Javni poziv za predlaganje javnih potreba u kulturi Republike Hrvatske za 2023. </w:t>
      </w:r>
      <w:r w:rsidRPr="006874A2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hr-HR"/>
        </w:rPr>
        <w:t>godinu</w:t>
      </w:r>
      <w:r w:rsidRPr="006874A2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 xml:space="preserve"> u programskoj djelatnosti </w:t>
      </w:r>
      <w:r w:rsidRPr="006874A2">
        <w:rPr>
          <w:rFonts w:eastAsia="Times New Roman" w:cstheme="minorHAnsi"/>
          <w:b/>
          <w:sz w:val="21"/>
          <w:szCs w:val="21"/>
          <w:shd w:val="clear" w:color="auto" w:fill="FFFFFF"/>
          <w:lang w:eastAsia="hr-HR"/>
        </w:rPr>
        <w:t>interdisciplinarnih i novih umjetničkih i kulturnih praksi</w:t>
      </w:r>
      <w:r w:rsidRPr="006874A2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 xml:space="preserve"> pristigle su ukupno 478 prijave, a za financiranje je odobreno 307 programa u iznosu od 5.456.500,00 kuna </w:t>
      </w:r>
      <w:r w:rsidR="006F4CB8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(</w:t>
      </w:r>
      <w:r w:rsidRPr="006874A2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724.202,00 eura</w:t>
      </w:r>
      <w:r w:rsidR="006F4CB8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)</w:t>
      </w:r>
      <w:r w:rsidRPr="006874A2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 xml:space="preserve">. </w:t>
      </w:r>
    </w:p>
    <w:p w14:paraId="7C216AC8" w14:textId="78FD4B5C" w:rsidR="006874A2" w:rsidRPr="006874A2" w:rsidRDefault="006874A2" w:rsidP="006874A2">
      <w:pPr>
        <w:rPr>
          <w:rFonts w:eastAsia="Times New Roman" w:cstheme="minorHAnsi"/>
          <w:sz w:val="21"/>
          <w:szCs w:val="21"/>
          <w:shd w:val="clear" w:color="auto" w:fill="FFFFFF"/>
          <w:lang w:eastAsia="hr-HR"/>
        </w:rPr>
      </w:pPr>
      <w:r>
        <w:rPr>
          <w:rFonts w:eastAsia="Times New Roman" w:cstheme="minorHAnsi"/>
          <w:sz w:val="21"/>
          <w:szCs w:val="21"/>
          <w:lang w:eastAsia="hr-HR"/>
        </w:rPr>
        <w:br/>
      </w:r>
      <w:r>
        <w:rPr>
          <w:rFonts w:cstheme="minorHAnsi"/>
          <w:b/>
          <w:spacing w:val="8"/>
          <w:sz w:val="16"/>
          <w:szCs w:val="16"/>
        </w:rPr>
        <w:t>Prikaz 1. Broj podržanih programa interdisciplinarnih i novih umjetničkih i kulturnih praksi po potprogramskim djelatnostima u 2023. godini</w:t>
      </w:r>
    </w:p>
    <w:p w14:paraId="290A65BB" w14:textId="77777777" w:rsidR="006874A2" w:rsidRDefault="006874A2" w:rsidP="006874A2">
      <w:pPr>
        <w:jc w:val="center"/>
      </w:pPr>
      <w:r>
        <w:rPr>
          <w:b/>
          <w:noProof/>
          <w:color w:val="FF0000"/>
          <w:spacing w:val="8"/>
          <w:lang w:eastAsia="hr-HR"/>
        </w:rPr>
        <w:drawing>
          <wp:inline distT="0" distB="0" distL="0" distR="0" wp14:anchorId="06B15ED4" wp14:editId="5D8F920D">
            <wp:extent cx="3133725" cy="28289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ED8024" w14:textId="77777777" w:rsidR="006874A2" w:rsidRDefault="006874A2" w:rsidP="006874A2">
      <w:pPr>
        <w:rPr>
          <w:rFonts w:eastAsia="Times New Roman" w:cstheme="minorHAnsi"/>
          <w:sz w:val="21"/>
          <w:szCs w:val="21"/>
          <w:shd w:val="clear" w:color="auto" w:fill="FFFFFF"/>
          <w:lang w:eastAsia="hr-HR"/>
        </w:rPr>
      </w:pPr>
      <w:r>
        <w:rPr>
          <w:rFonts w:eastAsia="Times New Roman" w:cstheme="minorHAnsi"/>
          <w:sz w:val="21"/>
          <w:szCs w:val="21"/>
          <w:lang w:eastAsia="hr-HR"/>
        </w:rPr>
        <w:br/>
      </w:r>
      <w:r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 xml:space="preserve">    </w:t>
      </w:r>
    </w:p>
    <w:p w14:paraId="4859AA50" w14:textId="77777777" w:rsidR="006874A2" w:rsidRDefault="006874A2" w:rsidP="006874A2">
      <w:pPr>
        <w:ind w:left="426" w:hanging="426"/>
        <w:jc w:val="center"/>
      </w:pPr>
      <w:r>
        <w:rPr>
          <w:rFonts w:cstheme="minorHAnsi"/>
          <w:b/>
          <w:spacing w:val="8"/>
          <w:sz w:val="16"/>
          <w:szCs w:val="16"/>
        </w:rPr>
        <w:t xml:space="preserve">Prikaz 2. Raspodjela sredstava za programe interdisciplinarnih i novih umjetničkih i kulturnih praksi po potprogramskim djelatnostima u 2023. godini </w:t>
      </w:r>
    </w:p>
    <w:p w14:paraId="32E7929C" w14:textId="77777777" w:rsidR="006874A2" w:rsidRDefault="006874A2" w:rsidP="006874A2">
      <w:pPr>
        <w:jc w:val="center"/>
      </w:pPr>
      <w:r>
        <w:rPr>
          <w:b/>
          <w:noProof/>
          <w:color w:val="FF0000"/>
          <w:spacing w:val="8"/>
          <w:lang w:eastAsia="hr-HR"/>
        </w:rPr>
        <w:drawing>
          <wp:inline distT="0" distB="0" distL="0" distR="0" wp14:anchorId="67E2EEE9" wp14:editId="07F459F5">
            <wp:extent cx="3228975" cy="26955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F03273" w14:textId="3C393F8C" w:rsidR="006874A2" w:rsidRDefault="006874A2" w:rsidP="006874A2">
      <w:pPr>
        <w:rPr>
          <w:rFonts w:cstheme="minorHAnsi"/>
          <w:bCs/>
        </w:rPr>
      </w:pPr>
    </w:p>
    <w:p w14:paraId="7B47A770" w14:textId="77777777" w:rsidR="006F4CB8" w:rsidRDefault="006F4CB8" w:rsidP="006874A2">
      <w:pPr>
        <w:rPr>
          <w:rFonts w:cstheme="minorHAnsi"/>
          <w:bCs/>
        </w:rPr>
      </w:pPr>
    </w:p>
    <w:p w14:paraId="3D56B869" w14:textId="0F9E1278" w:rsidR="006F4CB8" w:rsidRDefault="006874A2" w:rsidP="006874A2">
      <w:pPr>
        <w:rPr>
          <w:rFonts w:cstheme="minorHAnsi"/>
          <w:b/>
          <w:u w:val="single"/>
        </w:rPr>
      </w:pPr>
      <w:r w:rsidRPr="006874A2">
        <w:rPr>
          <w:rFonts w:cstheme="minorHAnsi"/>
          <w:b/>
          <w:u w:val="single"/>
        </w:rPr>
        <w:t>PROFESIONALNE KAZALIŠNE DJELATNOSTI, SUVREMEN</w:t>
      </w:r>
      <w:r w:rsidR="006F4CB8">
        <w:rPr>
          <w:rFonts w:cstheme="minorHAnsi"/>
          <w:b/>
          <w:u w:val="single"/>
        </w:rPr>
        <w:t>I</w:t>
      </w:r>
      <w:r w:rsidRPr="006874A2">
        <w:rPr>
          <w:rFonts w:cstheme="minorHAnsi"/>
          <w:b/>
          <w:u w:val="single"/>
        </w:rPr>
        <w:t xml:space="preserve"> PLES I POKRET</w:t>
      </w:r>
      <w:r w:rsidR="006F4CB8">
        <w:rPr>
          <w:rFonts w:cstheme="minorHAnsi"/>
          <w:b/>
          <w:u w:val="single"/>
        </w:rPr>
        <w:t>,</w:t>
      </w:r>
      <w:r w:rsidRPr="006874A2">
        <w:rPr>
          <w:rFonts w:cstheme="minorHAnsi"/>
          <w:b/>
          <w:u w:val="single"/>
        </w:rPr>
        <w:t xml:space="preserve"> SUVREMEN</w:t>
      </w:r>
      <w:r w:rsidR="006F4CB8">
        <w:rPr>
          <w:rFonts w:cstheme="minorHAnsi"/>
          <w:b/>
          <w:u w:val="single"/>
        </w:rPr>
        <w:t>I</w:t>
      </w:r>
      <w:r w:rsidRPr="006874A2">
        <w:rPr>
          <w:rFonts w:cstheme="minorHAnsi"/>
          <w:b/>
          <w:u w:val="single"/>
        </w:rPr>
        <w:t xml:space="preserve"> CIRKUS</w:t>
      </w:r>
      <w:r w:rsidR="006F4CB8">
        <w:rPr>
          <w:rFonts w:cstheme="minorHAnsi"/>
          <w:b/>
          <w:u w:val="single"/>
        </w:rPr>
        <w:t xml:space="preserve"> TE</w:t>
      </w:r>
      <w:r w:rsidRPr="006874A2">
        <w:rPr>
          <w:rFonts w:cstheme="minorHAnsi"/>
          <w:b/>
          <w:u w:val="single"/>
        </w:rPr>
        <w:t xml:space="preserve"> PROGRAMI </w:t>
      </w:r>
      <w:r w:rsidR="006F4CB8">
        <w:rPr>
          <w:rFonts w:cstheme="minorHAnsi"/>
          <w:b/>
          <w:u w:val="single"/>
        </w:rPr>
        <w:t>KAZALIŠNOG I PLESNOG AMATERIZMA</w:t>
      </w:r>
    </w:p>
    <w:p w14:paraId="31CC666E" w14:textId="3E374F40" w:rsidR="006874A2" w:rsidRDefault="006F4CB8" w:rsidP="006874A2">
      <w:r w:rsidRPr="006874A2">
        <w:rPr>
          <w:rFonts w:cstheme="minorHAnsi"/>
          <w:b/>
        </w:rPr>
        <w:t>Iznosom od 28.867.040,00 kuna/ 3.831.314,62 eura</w:t>
      </w:r>
      <w:r w:rsidRPr="006874A2">
        <w:rPr>
          <w:b/>
        </w:rPr>
        <w:t xml:space="preserve"> podržana su 560 </w:t>
      </w:r>
      <w:r w:rsidRPr="006874A2">
        <w:rPr>
          <w:rFonts w:cstheme="minorHAnsi"/>
          <w:b/>
        </w:rPr>
        <w:t>programa</w:t>
      </w:r>
      <w:r>
        <w:rPr>
          <w:rFonts w:cstheme="minorHAnsi"/>
          <w:b/>
        </w:rPr>
        <w:t>.</w:t>
      </w:r>
    </w:p>
    <w:p w14:paraId="69894929" w14:textId="77777777" w:rsidR="006874A2" w:rsidRDefault="006874A2" w:rsidP="006874A2">
      <w:pPr>
        <w:keepNext/>
      </w:pPr>
      <w:r>
        <w:rPr>
          <w:noProof/>
          <w:lang w:eastAsia="hr-HR"/>
        </w:rPr>
        <w:drawing>
          <wp:inline distT="0" distB="0" distL="0" distR="0" wp14:anchorId="57AA09A1" wp14:editId="31403D61">
            <wp:extent cx="4581525" cy="141922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C89C9C" w14:textId="77777777" w:rsidR="006874A2" w:rsidRDefault="006874A2" w:rsidP="006874A2">
      <w:pPr>
        <w:pStyle w:val="Caption"/>
      </w:pPr>
      <w:r>
        <w:t xml:space="preserve">Prikaz </w:t>
      </w:r>
      <w:r w:rsidR="005879A6">
        <w:rPr>
          <w:noProof/>
        </w:rPr>
        <w:fldChar w:fldCharType="begin"/>
      </w:r>
      <w:r w:rsidR="005879A6">
        <w:rPr>
          <w:noProof/>
        </w:rPr>
        <w:instrText xml:space="preserve"> SEQ Figure \* ARABIC </w:instrText>
      </w:r>
      <w:r w:rsidR="005879A6">
        <w:rPr>
          <w:noProof/>
        </w:rPr>
        <w:fldChar w:fldCharType="separate"/>
      </w:r>
      <w:r>
        <w:rPr>
          <w:noProof/>
        </w:rPr>
        <w:t>1</w:t>
      </w:r>
      <w:r w:rsidR="005879A6">
        <w:rPr>
          <w:noProof/>
        </w:rPr>
        <w:fldChar w:fldCharType="end"/>
      </w:r>
      <w:r>
        <w:t xml:space="preserve"> - </w:t>
      </w:r>
      <w:r>
        <w:rPr>
          <w:rFonts w:cstheme="minorHAnsi"/>
          <w:spacing w:val="8"/>
        </w:rPr>
        <w:t xml:space="preserve">Odobrena sredstva za programe </w:t>
      </w:r>
      <w:r>
        <w:rPr>
          <w:rFonts w:cstheme="minorHAnsi"/>
        </w:rPr>
        <w:t>profesionalne kazališne djelatnosti, suvremenog plesa i pokreta te suvremenog cirkusa i programe kazališnog i plesnog amaterizma</w:t>
      </w:r>
      <w:r>
        <w:rPr>
          <w:rFonts w:cstheme="minorHAnsi"/>
          <w:spacing w:val="8"/>
        </w:rPr>
        <w:t xml:space="preserve"> u 2023. i 2022. godini</w:t>
      </w:r>
    </w:p>
    <w:p w14:paraId="752CEA08" w14:textId="77777777" w:rsidR="006874A2" w:rsidRDefault="006874A2" w:rsidP="006874A2">
      <w:pPr>
        <w:spacing w:after="0" w:line="240" w:lineRule="auto"/>
        <w:rPr>
          <w:rFonts w:eastAsia="Times New Roman" w:cs="Arial"/>
          <w:shd w:val="clear" w:color="auto" w:fill="FFFFFF"/>
          <w:lang w:eastAsia="hr-HR"/>
        </w:rPr>
      </w:pPr>
    </w:p>
    <w:p w14:paraId="571B1B2F" w14:textId="77777777" w:rsidR="006874A2" w:rsidRPr="006874A2" w:rsidRDefault="006874A2" w:rsidP="006874A2">
      <w:pPr>
        <w:spacing w:after="0" w:line="240" w:lineRule="auto"/>
        <w:rPr>
          <w:rFonts w:eastAsia="Times New Roman" w:cs="Arial"/>
          <w:b/>
          <w:u w:val="single"/>
          <w:shd w:val="clear" w:color="auto" w:fill="FFFFFF"/>
          <w:lang w:eastAsia="hr-HR"/>
        </w:rPr>
      </w:pPr>
      <w:r>
        <w:rPr>
          <w:rFonts w:eastAsia="Times New Roman" w:cs="Arial"/>
          <w:b/>
          <w:shd w:val="clear" w:color="auto" w:fill="FFFFFF"/>
          <w:lang w:eastAsia="hr-HR"/>
        </w:rPr>
        <w:t>1</w:t>
      </w:r>
      <w:r w:rsidRPr="006874A2">
        <w:rPr>
          <w:rFonts w:eastAsia="Times New Roman" w:cs="Arial"/>
          <w:b/>
          <w:u w:val="single"/>
          <w:shd w:val="clear" w:color="auto" w:fill="FFFFFF"/>
          <w:lang w:eastAsia="hr-HR"/>
        </w:rPr>
        <w:t>. Profesionalna kazališna djelatnost</w:t>
      </w:r>
    </w:p>
    <w:p w14:paraId="45EEB1AA" w14:textId="77777777" w:rsidR="006874A2" w:rsidRDefault="006874A2" w:rsidP="006874A2">
      <w:pPr>
        <w:spacing w:after="0" w:line="240" w:lineRule="auto"/>
        <w:rPr>
          <w:rFonts w:eastAsia="Times New Roman" w:cs="Arial"/>
          <w:b/>
          <w:shd w:val="clear" w:color="auto" w:fill="FFFFFF"/>
          <w:lang w:eastAsia="hr-HR"/>
        </w:rPr>
      </w:pPr>
    </w:p>
    <w:p w14:paraId="7122AD8F" w14:textId="77777777" w:rsidR="006874A2" w:rsidRDefault="006874A2" w:rsidP="006874A2">
      <w:pPr>
        <w:spacing w:after="0" w:line="240" w:lineRule="auto"/>
        <w:rPr>
          <w:rFonts w:eastAsia="Times New Roman" w:cs="Arial"/>
          <w:b/>
          <w:shd w:val="clear" w:color="auto" w:fill="FFFFFF"/>
          <w:lang w:eastAsia="hr-HR"/>
        </w:rPr>
      </w:pPr>
      <w:r>
        <w:rPr>
          <w:rFonts w:eastAsia="Times New Roman" w:cs="Arial"/>
          <w:shd w:val="clear" w:color="auto" w:fill="FFFFFF"/>
          <w:lang w:eastAsia="hr-HR"/>
        </w:rPr>
        <w:t xml:space="preserve">Na Poziv za predlaganje programa javnih potreba u kulturi RH za 2023. godinu u profesionalnoj kazališnoj djelatnosti od ukupno prijavljenih 355 programa odobreno je </w:t>
      </w:r>
      <w:r>
        <w:rPr>
          <w:rFonts w:eastAsia="Times New Roman" w:cs="Arial"/>
          <w:b/>
          <w:bCs/>
          <w:shd w:val="clear" w:color="auto" w:fill="FFFFFF"/>
          <w:lang w:eastAsia="hr-HR"/>
        </w:rPr>
        <w:t>263 programa</w:t>
      </w:r>
      <w:r>
        <w:rPr>
          <w:rFonts w:eastAsia="Times New Roman" w:cs="Arial"/>
          <w:shd w:val="clear" w:color="auto" w:fill="FFFFFF"/>
          <w:lang w:eastAsia="hr-HR"/>
        </w:rPr>
        <w:t xml:space="preserve"> u ukupnom iznosu od </w:t>
      </w:r>
      <w:r>
        <w:rPr>
          <w:rFonts w:cstheme="minorHAnsi"/>
          <w:b/>
        </w:rPr>
        <w:t>23.486.440,00 kuna/ 3.117.186,27 eura.</w:t>
      </w:r>
      <w:r>
        <w:rPr>
          <w:rFonts w:eastAsia="Times New Roman" w:cs="Arial"/>
          <w:b/>
          <w:shd w:val="clear" w:color="auto" w:fill="FFFFFF"/>
          <w:lang w:eastAsia="hr-HR"/>
        </w:rPr>
        <w:t> </w:t>
      </w:r>
    </w:p>
    <w:p w14:paraId="5A6928E1" w14:textId="77777777" w:rsidR="006874A2" w:rsidRDefault="006874A2" w:rsidP="006874A2">
      <w:pPr>
        <w:spacing w:after="0" w:line="240" w:lineRule="auto"/>
        <w:rPr>
          <w:rFonts w:eastAsia="Times New Roman" w:cs="Arial"/>
          <w:shd w:val="clear" w:color="auto" w:fill="FFFFFF"/>
          <w:lang w:eastAsia="hr-HR"/>
        </w:rPr>
      </w:pPr>
    </w:p>
    <w:p w14:paraId="0F52292A" w14:textId="77777777" w:rsidR="006874A2" w:rsidRDefault="006874A2" w:rsidP="006874A2">
      <w:pPr>
        <w:spacing w:after="0" w:line="240" w:lineRule="auto"/>
        <w:rPr>
          <w:rFonts w:eastAsia="Times New Roman" w:cs="Arial"/>
          <w:shd w:val="clear" w:color="auto" w:fill="FFFFFF"/>
          <w:lang w:eastAsia="hr-HR"/>
        </w:rPr>
      </w:pPr>
      <w:r>
        <w:rPr>
          <w:noProof/>
          <w:lang w:eastAsia="hr-HR"/>
        </w:rPr>
        <w:drawing>
          <wp:inline distT="0" distB="0" distL="0" distR="0" wp14:anchorId="612FB3B1" wp14:editId="7E0D7C6A">
            <wp:extent cx="6362700" cy="343852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01F989" w14:textId="77777777" w:rsidR="006874A2" w:rsidRDefault="006874A2" w:rsidP="006874A2">
      <w:pPr>
        <w:keepNext/>
        <w:spacing w:after="0" w:line="240" w:lineRule="auto"/>
      </w:pPr>
    </w:p>
    <w:p w14:paraId="0CCEEF57" w14:textId="77777777" w:rsidR="006874A2" w:rsidRDefault="006874A2" w:rsidP="006874A2">
      <w:pPr>
        <w:pStyle w:val="Caption"/>
      </w:pPr>
    </w:p>
    <w:p w14:paraId="79C085AA" w14:textId="77777777" w:rsidR="006874A2" w:rsidRDefault="006874A2" w:rsidP="006874A2">
      <w:pPr>
        <w:pStyle w:val="Caption"/>
      </w:pPr>
      <w:r>
        <w:t xml:space="preserve">Prikaz </w:t>
      </w:r>
      <w:r w:rsidR="005879A6">
        <w:rPr>
          <w:noProof/>
        </w:rPr>
        <w:fldChar w:fldCharType="begin"/>
      </w:r>
      <w:r w:rsidR="005879A6">
        <w:rPr>
          <w:noProof/>
        </w:rPr>
        <w:instrText xml:space="preserve"> SEQ Figure \* ARABIC </w:instrText>
      </w:r>
      <w:r w:rsidR="005879A6">
        <w:rPr>
          <w:noProof/>
        </w:rPr>
        <w:fldChar w:fldCharType="separate"/>
      </w:r>
      <w:r>
        <w:rPr>
          <w:noProof/>
        </w:rPr>
        <w:t>2</w:t>
      </w:r>
      <w:r w:rsidR="005879A6">
        <w:rPr>
          <w:noProof/>
        </w:rPr>
        <w:fldChar w:fldCharType="end"/>
      </w:r>
      <w:r>
        <w:t xml:space="preserve"> - Raspodjela sredstava za programe profesionalne kazališne djelatnosti po potprogramskim djelatnostima u 2023. godini</w:t>
      </w:r>
    </w:p>
    <w:p w14:paraId="69D4B946" w14:textId="77777777" w:rsidR="006874A2" w:rsidRDefault="006874A2" w:rsidP="006874A2"/>
    <w:p w14:paraId="20D4AFA3" w14:textId="77777777" w:rsidR="006874A2" w:rsidRDefault="006874A2" w:rsidP="006874A2">
      <w:pPr>
        <w:spacing w:after="0" w:line="240" w:lineRule="auto"/>
        <w:rPr>
          <w:rFonts w:eastAsia="Times New Roman" w:cs="Arial"/>
          <w:shd w:val="clear" w:color="auto" w:fill="FFFFFF"/>
          <w:lang w:eastAsia="hr-HR"/>
        </w:rPr>
      </w:pPr>
    </w:p>
    <w:p w14:paraId="1A62C7B3" w14:textId="77777777" w:rsidR="006874A2" w:rsidRDefault="006874A2" w:rsidP="006874A2">
      <w:pPr>
        <w:spacing w:after="0" w:line="240" w:lineRule="auto"/>
        <w:rPr>
          <w:rFonts w:eastAsia="Times New Roman" w:cs="Arial"/>
          <w:b/>
          <w:shd w:val="clear" w:color="auto" w:fill="FFFFFF"/>
          <w:lang w:eastAsia="hr-HR"/>
        </w:rPr>
      </w:pPr>
      <w:r>
        <w:rPr>
          <w:rFonts w:eastAsia="Times New Roman" w:cs="Arial"/>
          <w:b/>
          <w:shd w:val="clear" w:color="auto" w:fill="FFFFFF"/>
          <w:lang w:eastAsia="hr-HR"/>
        </w:rPr>
        <w:t xml:space="preserve">2. </w:t>
      </w:r>
      <w:r w:rsidRPr="006874A2">
        <w:rPr>
          <w:rFonts w:eastAsia="Times New Roman" w:cs="Arial"/>
          <w:b/>
          <w:u w:val="single"/>
          <w:shd w:val="clear" w:color="auto" w:fill="FFFFFF"/>
          <w:lang w:eastAsia="hr-HR"/>
        </w:rPr>
        <w:t>Suvremeni ples i pokret te suvremeni cirkus</w:t>
      </w:r>
      <w:r>
        <w:rPr>
          <w:rFonts w:eastAsia="Times New Roman" w:cs="Arial"/>
          <w:b/>
          <w:shd w:val="clear" w:color="auto" w:fill="FFFFFF"/>
          <w:lang w:eastAsia="hr-HR"/>
        </w:rPr>
        <w:t xml:space="preserve"> </w:t>
      </w:r>
    </w:p>
    <w:p w14:paraId="5A93DC71" w14:textId="77777777" w:rsidR="006874A2" w:rsidRDefault="006874A2" w:rsidP="006874A2">
      <w:pPr>
        <w:spacing w:after="0" w:line="240" w:lineRule="auto"/>
        <w:rPr>
          <w:rFonts w:eastAsia="Times New Roman" w:cs="Arial"/>
          <w:shd w:val="clear" w:color="auto" w:fill="FFFFFF"/>
          <w:lang w:eastAsia="hr-HR"/>
        </w:rPr>
      </w:pPr>
    </w:p>
    <w:p w14:paraId="757CC0A7" w14:textId="77777777" w:rsidR="006874A2" w:rsidRDefault="006874A2" w:rsidP="006874A2">
      <w:pPr>
        <w:spacing w:after="0" w:line="240" w:lineRule="auto"/>
        <w:rPr>
          <w:rFonts w:eastAsia="Times New Roman" w:cs="Arial"/>
          <w:shd w:val="clear" w:color="auto" w:fill="FFFFFF"/>
          <w:lang w:eastAsia="hr-HR"/>
        </w:rPr>
      </w:pPr>
      <w:r>
        <w:rPr>
          <w:rFonts w:eastAsia="Times New Roman" w:cs="Arial"/>
          <w:shd w:val="clear" w:color="auto" w:fill="FFFFFF"/>
          <w:lang w:eastAsia="hr-HR"/>
        </w:rPr>
        <w:t xml:space="preserve">Na Poziv za predlaganje programa javnih potreba u kulturi RH za 2023. godinu u području suvremenog plesa i pokreta te suvremenog cirkusa prijavljen je 241 program, a odobreno je </w:t>
      </w:r>
      <w:r>
        <w:rPr>
          <w:rFonts w:eastAsia="Times New Roman" w:cs="Arial"/>
          <w:b/>
          <w:bCs/>
          <w:shd w:val="clear" w:color="auto" w:fill="FFFFFF"/>
          <w:lang w:eastAsia="hr-HR"/>
        </w:rPr>
        <w:t xml:space="preserve">180 programa </w:t>
      </w:r>
      <w:r>
        <w:rPr>
          <w:rFonts w:eastAsia="Times New Roman" w:cs="Arial"/>
          <w:bCs/>
          <w:shd w:val="clear" w:color="auto" w:fill="FFFFFF"/>
          <w:lang w:eastAsia="hr-HR"/>
        </w:rPr>
        <w:t>u ukupnom iznosu</w:t>
      </w:r>
      <w:r>
        <w:rPr>
          <w:rFonts w:eastAsia="Times New Roman" w:cs="Arial"/>
          <w:b/>
          <w:bCs/>
          <w:shd w:val="clear" w:color="auto" w:fill="FFFFFF"/>
          <w:lang w:eastAsia="hr-HR"/>
        </w:rPr>
        <w:t xml:space="preserve"> od 4.029.000</w:t>
      </w:r>
      <w:r>
        <w:rPr>
          <w:rFonts w:eastAsia="Times New Roman" w:cs="Arial"/>
          <w:b/>
          <w:shd w:val="clear" w:color="auto" w:fill="FFFFFF"/>
          <w:lang w:eastAsia="hr-HR"/>
        </w:rPr>
        <w:t>,00 kuna/ 534.740,24 eura.</w:t>
      </w:r>
    </w:p>
    <w:p w14:paraId="4DF7AC32" w14:textId="77777777" w:rsidR="006874A2" w:rsidRDefault="006874A2" w:rsidP="006874A2">
      <w:pPr>
        <w:shd w:val="clear" w:color="auto" w:fill="FFFFFF"/>
        <w:spacing w:after="0" w:line="240" w:lineRule="auto"/>
        <w:rPr>
          <w:rFonts w:cs="Arial"/>
          <w:bCs/>
        </w:rPr>
      </w:pPr>
      <w:r>
        <w:rPr>
          <w:rFonts w:eastAsia="Times New Roman" w:cs="Arial"/>
          <w:lang w:eastAsia="hr-HR"/>
        </w:rPr>
        <w:t> </w:t>
      </w:r>
      <w:r>
        <w:rPr>
          <w:rFonts w:eastAsia="Times New Roman" w:cs="Arial"/>
          <w:lang w:eastAsia="hr-HR"/>
        </w:rPr>
        <w:br/>
      </w:r>
    </w:p>
    <w:p w14:paraId="3195D8CD" w14:textId="77777777" w:rsidR="006874A2" w:rsidRDefault="006874A2" w:rsidP="006874A2">
      <w:pPr>
        <w:keepNext/>
        <w:spacing w:after="0"/>
      </w:pPr>
      <w:r>
        <w:rPr>
          <w:noProof/>
          <w:lang w:eastAsia="hr-HR"/>
        </w:rPr>
        <w:drawing>
          <wp:inline distT="0" distB="0" distL="0" distR="0" wp14:anchorId="666AFD05" wp14:editId="3179953D">
            <wp:extent cx="6372225" cy="4191000"/>
            <wp:effectExtent l="3810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AAF3C2" w14:textId="77777777" w:rsidR="006874A2" w:rsidRDefault="006874A2" w:rsidP="006874A2">
      <w:pPr>
        <w:pStyle w:val="Caption"/>
      </w:pPr>
    </w:p>
    <w:p w14:paraId="255637AA" w14:textId="77777777" w:rsidR="006874A2" w:rsidRDefault="006874A2" w:rsidP="006874A2">
      <w:pPr>
        <w:pStyle w:val="Caption"/>
        <w:rPr>
          <w:rFonts w:eastAsia="Times New Roman" w:cs="Arial"/>
          <w:lang w:eastAsia="hr-HR"/>
        </w:rPr>
      </w:pPr>
      <w:r>
        <w:t>Prikaz 2 - Raspodjela sredstava za programe suvremenog plesa i pokreta te suvremenog cirkusa po potprogramskim djelatnostima u 2023. godini</w:t>
      </w:r>
      <w:r>
        <w:rPr>
          <w:rFonts w:eastAsia="Times New Roman" w:cs="Arial"/>
          <w:sz w:val="22"/>
          <w:szCs w:val="22"/>
          <w:shd w:val="clear" w:color="auto" w:fill="FFFFFF"/>
          <w:lang w:eastAsia="hr-HR"/>
        </w:rPr>
        <w:t> </w:t>
      </w:r>
      <w:r>
        <w:rPr>
          <w:rFonts w:eastAsia="Times New Roman" w:cs="Arial"/>
          <w:sz w:val="22"/>
          <w:szCs w:val="22"/>
          <w:lang w:eastAsia="hr-HR"/>
        </w:rPr>
        <w:t> </w:t>
      </w:r>
    </w:p>
    <w:p w14:paraId="77A23498" w14:textId="77777777" w:rsidR="006874A2" w:rsidRDefault="006874A2" w:rsidP="006874A2">
      <w:pPr>
        <w:rPr>
          <w:lang w:eastAsia="hr-HR"/>
        </w:rPr>
      </w:pPr>
    </w:p>
    <w:p w14:paraId="24C8A222" w14:textId="77777777" w:rsidR="006874A2" w:rsidRDefault="006874A2" w:rsidP="006874A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191919"/>
          <w:kern w:val="36"/>
        </w:rPr>
      </w:pPr>
      <w:r>
        <w:rPr>
          <w:rFonts w:eastAsia="Times New Roman" w:cstheme="minorHAnsi"/>
          <w:b/>
          <w:bCs/>
          <w:color w:val="191919"/>
          <w:kern w:val="36"/>
        </w:rPr>
        <w:t>1.322.400,00 kuna za poticaj suvremenom plesnom stvaralaštvu u 2022. godini</w:t>
      </w:r>
    </w:p>
    <w:p w14:paraId="4000B005" w14:textId="77777777" w:rsidR="006874A2" w:rsidRDefault="006874A2" w:rsidP="006874A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191919"/>
          <w:kern w:val="36"/>
        </w:rPr>
      </w:pPr>
    </w:p>
    <w:p w14:paraId="756D7619" w14:textId="3447E693" w:rsidR="006874A2" w:rsidRDefault="006874A2" w:rsidP="006874A2">
      <w:pPr>
        <w:shd w:val="clear" w:color="auto" w:fill="FFFFFF"/>
        <w:spacing w:after="0" w:line="240" w:lineRule="auto"/>
        <w:rPr>
          <w:rFonts w:eastAsia="Times New Roman" w:cstheme="minorHAnsi"/>
          <w:bCs/>
          <w:color w:val="191919"/>
        </w:rPr>
      </w:pPr>
      <w:r>
        <w:rPr>
          <w:rFonts w:eastAsia="Times New Roman" w:cstheme="minorHAnsi"/>
          <w:bCs/>
          <w:color w:val="191919"/>
        </w:rPr>
        <w:t xml:space="preserve">Ministarstvo kulture i medija </w:t>
      </w:r>
      <w:r w:rsidR="0095093D">
        <w:rPr>
          <w:rFonts w:eastAsia="Times New Roman" w:cstheme="minorHAnsi"/>
          <w:bCs/>
          <w:color w:val="191919"/>
        </w:rPr>
        <w:t xml:space="preserve">u rujnu 2022. </w:t>
      </w:r>
      <w:r>
        <w:rPr>
          <w:rFonts w:eastAsia="Times New Roman" w:cstheme="minorHAnsi"/>
          <w:bCs/>
          <w:color w:val="191919"/>
        </w:rPr>
        <w:t>objav</w:t>
      </w:r>
      <w:r w:rsidR="0095093D">
        <w:rPr>
          <w:rFonts w:eastAsia="Times New Roman" w:cstheme="minorHAnsi"/>
          <w:bCs/>
          <w:color w:val="191919"/>
        </w:rPr>
        <w:t xml:space="preserve">ilo je </w:t>
      </w:r>
      <w:r>
        <w:rPr>
          <w:rFonts w:eastAsia="Times New Roman" w:cstheme="minorHAnsi"/>
          <w:bCs/>
          <w:color w:val="191919"/>
        </w:rPr>
        <w:t>rezultate </w:t>
      </w:r>
      <w:r>
        <w:rPr>
          <w:rFonts w:eastAsia="Times New Roman" w:cstheme="minorHAnsi"/>
          <w:bCs/>
          <w:i/>
          <w:iCs/>
          <w:color w:val="191919"/>
        </w:rPr>
        <w:t>Javnog poziva za poticanje suvremenog plesnog stvaralaštva u 2022</w:t>
      </w:r>
      <w:r>
        <w:rPr>
          <w:rFonts w:eastAsia="Times New Roman" w:cstheme="minorHAnsi"/>
          <w:bCs/>
          <w:color w:val="191919"/>
        </w:rPr>
        <w:t xml:space="preserve">. godini kojega je prvi puta kao pilot-poziv raspisalo </w:t>
      </w:r>
      <w:r>
        <w:rPr>
          <w:rFonts w:eastAsia="Times New Roman" w:cstheme="minorHAnsi"/>
          <w:b/>
          <w:bCs/>
          <w:color w:val="191919"/>
        </w:rPr>
        <w:t>u lipnju 2022.</w:t>
      </w:r>
      <w:r>
        <w:rPr>
          <w:rFonts w:eastAsia="Times New Roman" w:cstheme="minorHAnsi"/>
          <w:bCs/>
          <w:color w:val="191919"/>
        </w:rPr>
        <w:t xml:space="preserve"> s ciljem pružanja dodatne potpore plesnim umjetnicima u daljnjem profesionalnom razvoju vlastite umjetničke prakse i jačanju vlastitih profesionalnih kapaciteta te dodatnom jačanju kvalitete i vitalnosti područja suvremenog plesnog stvaralaštva. </w:t>
      </w:r>
    </w:p>
    <w:p w14:paraId="03588576" w14:textId="77777777" w:rsidR="006874A2" w:rsidRDefault="006874A2" w:rsidP="006874A2">
      <w:pPr>
        <w:shd w:val="clear" w:color="auto" w:fill="FFFFFF"/>
        <w:spacing w:after="0" w:line="240" w:lineRule="auto"/>
        <w:rPr>
          <w:rFonts w:eastAsia="Times New Roman" w:cstheme="minorHAnsi"/>
          <w:color w:val="424242"/>
        </w:rPr>
      </w:pPr>
    </w:p>
    <w:p w14:paraId="7604B464" w14:textId="77777777" w:rsidR="006874A2" w:rsidRDefault="006874A2" w:rsidP="006874A2">
      <w:pPr>
        <w:shd w:val="clear" w:color="auto" w:fill="FFFFFF"/>
        <w:spacing w:after="0" w:line="240" w:lineRule="auto"/>
        <w:rPr>
          <w:rFonts w:eastAsia="Times New Roman" w:cstheme="minorHAnsi"/>
          <w:color w:val="424242"/>
        </w:rPr>
      </w:pPr>
      <w:r>
        <w:rPr>
          <w:rFonts w:eastAsia="Times New Roman" w:cstheme="minorHAnsi"/>
          <w:color w:val="424242"/>
        </w:rPr>
        <w:lastRenderedPageBreak/>
        <w:t>Velik odaziv umjetnika na ovaj Poziv potvrdio je potrebu dodatne potpore programima umjetnicima suvremenog plesa i pokreta, a odobrena sredstva dat će novi poticaj plesnoj sceni, osnažiti kvalitetu pripreme, razrade i produkcije projekata te poboljšati uvjete stvaranja plesnih umjetnika.</w:t>
      </w:r>
    </w:p>
    <w:p w14:paraId="57639D37" w14:textId="77777777" w:rsidR="0095093D" w:rsidRDefault="0095093D" w:rsidP="006874A2">
      <w:pPr>
        <w:spacing w:after="0" w:line="240" w:lineRule="auto"/>
        <w:rPr>
          <w:rFonts w:cstheme="minorHAnsi"/>
        </w:rPr>
      </w:pPr>
    </w:p>
    <w:p w14:paraId="7015DF28" w14:textId="045EE5F8" w:rsidR="006874A2" w:rsidRDefault="0095093D" w:rsidP="006874A2">
      <w:pPr>
        <w:shd w:val="clear" w:color="auto" w:fill="FFFFFF"/>
        <w:spacing w:after="0" w:line="240" w:lineRule="auto"/>
        <w:outlineLvl w:val="2"/>
        <w:rPr>
          <w:rFonts w:cstheme="minorHAnsi"/>
          <w:b/>
          <w:color w:val="424242"/>
          <w:shd w:val="clear" w:color="auto" w:fill="FFFFFF"/>
        </w:rPr>
      </w:pPr>
      <w:r>
        <w:rPr>
          <w:rStyle w:val="Strong"/>
          <w:rFonts w:cstheme="minorHAnsi"/>
          <w:b w:val="0"/>
          <w:color w:val="424242"/>
          <w:shd w:val="clear" w:color="auto" w:fill="FFFFFF"/>
        </w:rPr>
        <w:t xml:space="preserve">U kategoriji </w:t>
      </w:r>
      <w:r w:rsidR="006874A2">
        <w:rPr>
          <w:rStyle w:val="Strong"/>
          <w:rFonts w:cstheme="minorHAnsi"/>
          <w:b w:val="0"/>
          <w:color w:val="424242"/>
          <w:shd w:val="clear" w:color="auto" w:fill="FFFFFF"/>
        </w:rPr>
        <w:t>A1-Razvoj projekta-koreografski i istraživački procesi</w:t>
      </w:r>
      <w:r w:rsidR="006874A2">
        <w:rPr>
          <w:rFonts w:cstheme="minorHAnsi"/>
          <w:b/>
          <w:color w:val="424242"/>
          <w:shd w:val="clear" w:color="auto" w:fill="FFFFFF"/>
        </w:rPr>
        <w:t xml:space="preserve">  prijavljena </w:t>
      </w:r>
      <w:r>
        <w:rPr>
          <w:rFonts w:cstheme="minorHAnsi"/>
          <w:b/>
          <w:color w:val="424242"/>
          <w:shd w:val="clear" w:color="auto" w:fill="FFFFFF"/>
        </w:rPr>
        <w:t xml:space="preserve">su </w:t>
      </w:r>
      <w:r w:rsidR="006874A2">
        <w:rPr>
          <w:rFonts w:cstheme="minorHAnsi"/>
          <w:b/>
          <w:color w:val="424242"/>
          <w:shd w:val="clear" w:color="auto" w:fill="FFFFFF"/>
        </w:rPr>
        <w:t>34, a odobrena 29 programa</w:t>
      </w:r>
      <w:r>
        <w:rPr>
          <w:rFonts w:cstheme="minorHAnsi"/>
          <w:b/>
          <w:color w:val="424242"/>
          <w:shd w:val="clear" w:color="auto" w:fill="FFFFFF"/>
        </w:rPr>
        <w:t>,</w:t>
      </w:r>
      <w:r w:rsidR="006874A2">
        <w:rPr>
          <w:rFonts w:cstheme="minorHAnsi"/>
          <w:b/>
          <w:color w:val="424242"/>
          <w:shd w:val="clear" w:color="auto" w:fill="FFFFFF"/>
        </w:rPr>
        <w:t xml:space="preserve"> u ukupnom iznosu od 1.179.800,00 kuna.</w:t>
      </w:r>
    </w:p>
    <w:p w14:paraId="121EE8B6" w14:textId="3C3EE199" w:rsidR="006874A2" w:rsidRDefault="006874A2" w:rsidP="006874A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191919"/>
        </w:rPr>
      </w:pPr>
      <w:r>
        <w:rPr>
          <w:rFonts w:cstheme="minorHAnsi"/>
          <w:b/>
          <w:color w:val="424242"/>
        </w:rPr>
        <w:br/>
      </w:r>
      <w:r w:rsidR="0095093D">
        <w:rPr>
          <w:rStyle w:val="Strong"/>
          <w:rFonts w:cstheme="minorHAnsi"/>
          <w:b w:val="0"/>
          <w:color w:val="424242"/>
          <w:shd w:val="clear" w:color="auto" w:fill="FFFFFF"/>
        </w:rPr>
        <w:t xml:space="preserve">U kategoriji </w:t>
      </w:r>
      <w:r>
        <w:rPr>
          <w:rStyle w:val="Strong"/>
          <w:rFonts w:cstheme="minorHAnsi"/>
          <w:b w:val="0"/>
          <w:color w:val="424242"/>
          <w:shd w:val="clear" w:color="auto" w:fill="FFFFFF"/>
        </w:rPr>
        <w:t xml:space="preserve">A2-Potpora razvoju i provedbi program s ciljem edukacije i usavršavanja umjetnika, aktivnosti vezane uz </w:t>
      </w:r>
      <w:proofErr w:type="spellStart"/>
      <w:r>
        <w:rPr>
          <w:rStyle w:val="Strong"/>
          <w:rFonts w:cstheme="minorHAnsi"/>
          <w:b w:val="0"/>
          <w:color w:val="424242"/>
          <w:shd w:val="clear" w:color="auto" w:fill="FFFFFF"/>
        </w:rPr>
        <w:t>postprodukciju</w:t>
      </w:r>
      <w:proofErr w:type="spellEnd"/>
      <w:r>
        <w:rPr>
          <w:rFonts w:cstheme="minorHAnsi"/>
          <w:b/>
          <w:color w:val="424242"/>
          <w:shd w:val="clear" w:color="auto" w:fill="FFFFFF"/>
        </w:rPr>
        <w:t xml:space="preserve"> prijavljeno </w:t>
      </w:r>
      <w:r w:rsidR="0095093D">
        <w:rPr>
          <w:rFonts w:cstheme="minorHAnsi"/>
          <w:b/>
          <w:color w:val="424242"/>
          <w:shd w:val="clear" w:color="auto" w:fill="FFFFFF"/>
        </w:rPr>
        <w:t xml:space="preserve">je </w:t>
      </w:r>
      <w:r>
        <w:rPr>
          <w:rFonts w:cstheme="minorHAnsi"/>
          <w:b/>
          <w:color w:val="424242"/>
          <w:shd w:val="clear" w:color="auto" w:fill="FFFFFF"/>
        </w:rPr>
        <w:t>11, a odobreno 7 programa</w:t>
      </w:r>
      <w:r w:rsidR="0095093D">
        <w:rPr>
          <w:rFonts w:cstheme="minorHAnsi"/>
          <w:b/>
          <w:color w:val="424242"/>
          <w:shd w:val="clear" w:color="auto" w:fill="FFFFFF"/>
        </w:rPr>
        <w:t>,</w:t>
      </w:r>
      <w:r>
        <w:rPr>
          <w:rFonts w:cstheme="minorHAnsi"/>
          <w:b/>
          <w:color w:val="424242"/>
          <w:shd w:val="clear" w:color="auto" w:fill="FFFFFF"/>
        </w:rPr>
        <w:t xml:space="preserve"> u ukupnom iznosu od 142.600,00 kuna.</w:t>
      </w:r>
    </w:p>
    <w:p w14:paraId="46D2463D" w14:textId="77777777" w:rsidR="006874A2" w:rsidRDefault="006874A2" w:rsidP="006874A2">
      <w:pPr>
        <w:rPr>
          <w:rFonts w:eastAsia="Times New Roman" w:cs="Arial"/>
          <w:b/>
          <w:shd w:val="clear" w:color="auto" w:fill="FFFFFF"/>
          <w:lang w:eastAsia="hr-HR"/>
        </w:rPr>
      </w:pPr>
    </w:p>
    <w:p w14:paraId="0BDD6DE0" w14:textId="77777777" w:rsidR="006874A2" w:rsidRPr="006874A2" w:rsidRDefault="006874A2" w:rsidP="006874A2">
      <w:pPr>
        <w:rPr>
          <w:rFonts w:eastAsia="Times New Roman" w:cs="Arial"/>
          <w:b/>
          <w:u w:val="single"/>
          <w:shd w:val="clear" w:color="auto" w:fill="FFFFFF"/>
          <w:lang w:eastAsia="hr-HR"/>
        </w:rPr>
      </w:pPr>
      <w:r w:rsidRPr="006874A2">
        <w:rPr>
          <w:rFonts w:eastAsia="Times New Roman" w:cs="Arial"/>
          <w:b/>
          <w:shd w:val="clear" w:color="auto" w:fill="FFFFFF"/>
          <w:lang w:eastAsia="hr-HR"/>
        </w:rPr>
        <w:t xml:space="preserve">3. </w:t>
      </w:r>
      <w:r w:rsidRPr="006874A2">
        <w:rPr>
          <w:rFonts w:eastAsia="Times New Roman" w:cs="Arial"/>
          <w:b/>
          <w:u w:val="single"/>
          <w:shd w:val="clear" w:color="auto" w:fill="FFFFFF"/>
          <w:lang w:eastAsia="hr-HR"/>
        </w:rPr>
        <w:t>Kazališni i plesni amaterizam</w:t>
      </w:r>
    </w:p>
    <w:p w14:paraId="48CCEA70" w14:textId="77777777" w:rsidR="006874A2" w:rsidRDefault="006874A2" w:rsidP="006874A2">
      <w:pPr>
        <w:rPr>
          <w:rFonts w:eastAsia="Times New Roman" w:cs="Arial"/>
          <w:shd w:val="clear" w:color="auto" w:fill="FFFFFF"/>
          <w:lang w:eastAsia="hr-HR"/>
        </w:rPr>
      </w:pPr>
      <w:r>
        <w:rPr>
          <w:rFonts w:eastAsia="Times New Roman" w:cs="Arial"/>
          <w:shd w:val="clear" w:color="auto" w:fill="FFFFFF"/>
          <w:lang w:eastAsia="hr-HR"/>
        </w:rPr>
        <w:t xml:space="preserve">Na Poziv za predlaganje programa javnih potreba u kulturi RH za 2023. godinu u kazališnom i plesnom amaterizmu od ukupno prijavljenih 148 programa odobreno je </w:t>
      </w:r>
      <w:r>
        <w:rPr>
          <w:rFonts w:eastAsia="Times New Roman" w:cs="Arial"/>
          <w:b/>
          <w:shd w:val="clear" w:color="auto" w:fill="FFFFFF"/>
          <w:lang w:eastAsia="hr-HR"/>
        </w:rPr>
        <w:t xml:space="preserve">117 </w:t>
      </w:r>
      <w:r>
        <w:rPr>
          <w:rFonts w:eastAsia="Times New Roman" w:cs="Arial"/>
          <w:b/>
          <w:bCs/>
          <w:shd w:val="clear" w:color="auto" w:fill="FFFFFF"/>
          <w:lang w:eastAsia="hr-HR"/>
        </w:rPr>
        <w:t>programa</w:t>
      </w:r>
      <w:r>
        <w:rPr>
          <w:rFonts w:eastAsia="Times New Roman" w:cs="Arial"/>
          <w:shd w:val="clear" w:color="auto" w:fill="FFFFFF"/>
          <w:lang w:eastAsia="hr-HR"/>
        </w:rPr>
        <w:t> u ukupnom iznosu od </w:t>
      </w:r>
      <w:r>
        <w:rPr>
          <w:rFonts w:eastAsia="Times New Roman" w:cs="Arial"/>
          <w:b/>
          <w:bCs/>
          <w:shd w:val="clear" w:color="auto" w:fill="FFFFFF"/>
          <w:lang w:eastAsia="hr-HR"/>
        </w:rPr>
        <w:t xml:space="preserve">1.351.600,00 kuna/ </w:t>
      </w:r>
      <w:r>
        <w:rPr>
          <w:b/>
        </w:rPr>
        <w:t>179.388,01</w:t>
      </w:r>
      <w:r>
        <w:t xml:space="preserve"> </w:t>
      </w:r>
      <w:r>
        <w:rPr>
          <w:rFonts w:eastAsia="Times New Roman" w:cs="Arial"/>
          <w:b/>
          <w:bCs/>
          <w:shd w:val="clear" w:color="auto" w:fill="FFFFFF"/>
          <w:lang w:eastAsia="hr-HR"/>
        </w:rPr>
        <w:t>eura.</w:t>
      </w:r>
      <w:r>
        <w:rPr>
          <w:rFonts w:eastAsia="Times New Roman" w:cs="Arial"/>
          <w:shd w:val="clear" w:color="auto" w:fill="FFFFFF"/>
          <w:lang w:eastAsia="hr-HR"/>
        </w:rPr>
        <w:t xml:space="preserve"> </w:t>
      </w:r>
    </w:p>
    <w:p w14:paraId="784AB023" w14:textId="77777777" w:rsidR="006874A2" w:rsidRDefault="006874A2" w:rsidP="006874A2">
      <w:pPr>
        <w:rPr>
          <w:rFonts w:eastAsia="Times New Roman" w:cs="Arial"/>
          <w:shd w:val="clear" w:color="auto" w:fill="FFFFFF"/>
          <w:lang w:eastAsia="hr-HR"/>
        </w:rPr>
      </w:pPr>
    </w:p>
    <w:p w14:paraId="64542CAB" w14:textId="77777777" w:rsidR="006874A2" w:rsidRDefault="006874A2" w:rsidP="006874A2">
      <w:pPr>
        <w:keepNext/>
      </w:pPr>
      <w:r>
        <w:rPr>
          <w:noProof/>
          <w:lang w:eastAsia="hr-HR"/>
        </w:rPr>
        <w:drawing>
          <wp:inline distT="0" distB="0" distL="0" distR="0" wp14:anchorId="205F18A2" wp14:editId="7B40BFA9">
            <wp:extent cx="4724400" cy="24669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428300" w14:textId="77777777" w:rsidR="006874A2" w:rsidRDefault="006874A2" w:rsidP="006874A2">
      <w:pPr>
        <w:pStyle w:val="Caption"/>
        <w:rPr>
          <w:rFonts w:eastAsia="Times New Roman" w:cs="Arial"/>
          <w:sz w:val="22"/>
          <w:szCs w:val="22"/>
          <w:shd w:val="clear" w:color="auto" w:fill="FFFFFF"/>
          <w:lang w:eastAsia="hr-HR"/>
        </w:rPr>
      </w:pPr>
      <w:r>
        <w:t xml:space="preserve">Prikaz  </w:t>
      </w:r>
      <w:r w:rsidR="005879A6">
        <w:rPr>
          <w:noProof/>
        </w:rPr>
        <w:fldChar w:fldCharType="begin"/>
      </w:r>
      <w:r w:rsidR="005879A6">
        <w:rPr>
          <w:noProof/>
        </w:rPr>
        <w:instrText xml:space="preserve"> SEQ Figure \* ARABIC </w:instrText>
      </w:r>
      <w:r w:rsidR="005879A6">
        <w:rPr>
          <w:noProof/>
        </w:rPr>
        <w:fldChar w:fldCharType="separate"/>
      </w:r>
      <w:r>
        <w:rPr>
          <w:noProof/>
        </w:rPr>
        <w:t>3</w:t>
      </w:r>
      <w:r w:rsidR="005879A6">
        <w:rPr>
          <w:noProof/>
        </w:rPr>
        <w:fldChar w:fldCharType="end"/>
      </w:r>
      <w:r>
        <w:t xml:space="preserve"> - Raspodjela sredstava za programe kazališnog amaterizma po potprogramskim djelatnostima u 2023. godini</w:t>
      </w:r>
    </w:p>
    <w:p w14:paraId="6EA85989" w14:textId="77777777" w:rsidR="006874A2" w:rsidRDefault="006874A2" w:rsidP="006874A2">
      <w:pPr>
        <w:rPr>
          <w:rFonts w:eastAsia="Times New Roman" w:cs="Arial"/>
          <w:shd w:val="clear" w:color="auto" w:fill="FFFFFF"/>
          <w:lang w:eastAsia="hr-HR"/>
        </w:rPr>
      </w:pPr>
    </w:p>
    <w:p w14:paraId="4B7FC1FF" w14:textId="77777777" w:rsidR="006874A2" w:rsidRDefault="006874A2" w:rsidP="006874A2">
      <w:pPr>
        <w:keepNext/>
      </w:pPr>
      <w:r>
        <w:rPr>
          <w:noProof/>
          <w:lang w:eastAsia="hr-HR"/>
        </w:rPr>
        <w:lastRenderedPageBreak/>
        <w:drawing>
          <wp:inline distT="0" distB="0" distL="0" distR="0" wp14:anchorId="7E05BB2A" wp14:editId="3CEA355E">
            <wp:extent cx="5772150" cy="25908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F423CC2" w14:textId="77777777" w:rsidR="006874A2" w:rsidRDefault="006874A2" w:rsidP="006874A2">
      <w:pPr>
        <w:pStyle w:val="Caption"/>
      </w:pPr>
      <w:r>
        <w:t xml:space="preserve">Prikaz </w:t>
      </w:r>
      <w:r w:rsidR="005879A6">
        <w:rPr>
          <w:noProof/>
        </w:rPr>
        <w:fldChar w:fldCharType="begin"/>
      </w:r>
      <w:r w:rsidR="005879A6">
        <w:rPr>
          <w:noProof/>
        </w:rPr>
        <w:instrText xml:space="preserve"> SEQ Figure \* ARABIC </w:instrText>
      </w:r>
      <w:r w:rsidR="005879A6">
        <w:rPr>
          <w:noProof/>
        </w:rPr>
        <w:fldChar w:fldCharType="separate"/>
      </w:r>
      <w:r>
        <w:rPr>
          <w:noProof/>
        </w:rPr>
        <w:t>4</w:t>
      </w:r>
      <w:r w:rsidR="005879A6">
        <w:rPr>
          <w:noProof/>
        </w:rPr>
        <w:fldChar w:fldCharType="end"/>
      </w:r>
      <w:r>
        <w:t xml:space="preserve"> - Raspodjela sredstava za programe plesnog amaterizma po potprogramskim djelatnostima u 2023. godini</w:t>
      </w:r>
    </w:p>
    <w:p w14:paraId="2B21D89C" w14:textId="77777777" w:rsidR="006874A2" w:rsidRDefault="006874A2" w:rsidP="006874A2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hr-HR"/>
        </w:rPr>
      </w:pPr>
    </w:p>
    <w:p w14:paraId="4C7FB582" w14:textId="77777777" w:rsidR="006874A2" w:rsidRPr="006874A2" w:rsidRDefault="006874A2" w:rsidP="006874A2">
      <w:pPr>
        <w:spacing w:after="0" w:line="240" w:lineRule="auto"/>
        <w:jc w:val="both"/>
        <w:rPr>
          <w:rFonts w:cstheme="minorHAnsi"/>
          <w:b/>
          <w:u w:val="single"/>
        </w:rPr>
      </w:pPr>
      <w:r w:rsidRPr="006874A2">
        <w:rPr>
          <w:rFonts w:cstheme="minorHAnsi"/>
          <w:b/>
          <w:u w:val="single"/>
        </w:rPr>
        <w:t>GLAZBENE I GLAZBENO-SCENSKE UMJETNOSTI</w:t>
      </w:r>
    </w:p>
    <w:p w14:paraId="5A631816" w14:textId="77777777" w:rsidR="006874A2" w:rsidRDefault="006874A2" w:rsidP="006874A2">
      <w:pPr>
        <w:spacing w:after="0" w:line="240" w:lineRule="auto"/>
        <w:jc w:val="both"/>
        <w:rPr>
          <w:rFonts w:cstheme="minorHAnsi"/>
          <w:b/>
        </w:rPr>
      </w:pPr>
    </w:p>
    <w:p w14:paraId="269FF85C" w14:textId="77777777" w:rsidR="006874A2" w:rsidRDefault="006874A2" w:rsidP="006874A2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</w:rPr>
      </w:pPr>
      <w:r>
        <w:rPr>
          <w:rFonts w:cstheme="minorHAnsi"/>
          <w:b/>
        </w:rPr>
        <w:t xml:space="preserve">Ukupno odobrena sredstva za </w:t>
      </w:r>
      <w:r w:rsidRPr="006874A2">
        <w:rPr>
          <w:rFonts w:cstheme="minorHAnsi"/>
          <w:b/>
          <w:color w:val="171717" w:themeColor="background2" w:themeShade="1A"/>
        </w:rPr>
        <w:t xml:space="preserve">programe </w:t>
      </w:r>
      <w:r w:rsidRPr="006874A2">
        <w:rPr>
          <w:rFonts w:eastAsia="Times New Roman" w:cstheme="minorHAnsi"/>
          <w:b/>
          <w:color w:val="171717" w:themeColor="background2" w:themeShade="1A"/>
          <w:shd w:val="clear" w:color="auto" w:fill="FFFFFF"/>
        </w:rPr>
        <w:t>glazbene i glazbeno-scenske umjetnosti</w:t>
      </w:r>
      <w:r w:rsidRPr="006874A2">
        <w:rPr>
          <w:rFonts w:eastAsia="Times New Roman" w:cstheme="minorHAnsi"/>
          <w:color w:val="171717" w:themeColor="background2" w:themeShade="1A"/>
          <w:shd w:val="clear" w:color="auto" w:fill="FFFFFF"/>
        </w:rPr>
        <w:t xml:space="preserve"> </w:t>
      </w:r>
      <w:r w:rsidRPr="006874A2">
        <w:rPr>
          <w:rFonts w:eastAsia="Times New Roman" w:cstheme="minorHAnsi"/>
          <w:b/>
          <w:color w:val="171717" w:themeColor="background2" w:themeShade="1A"/>
          <w:shd w:val="clear" w:color="auto" w:fill="FFFFFF"/>
        </w:rPr>
        <w:t>u 2023</w:t>
      </w:r>
      <w:r>
        <w:rPr>
          <w:rFonts w:eastAsia="Times New Roman" w:cstheme="minorHAnsi"/>
          <w:b/>
          <w:shd w:val="clear" w:color="auto" w:fill="FFFFFF"/>
        </w:rPr>
        <w:t xml:space="preserve">. godini iznose 13.834.600,00 kuna / 1.836.166,97 eura </w:t>
      </w:r>
    </w:p>
    <w:p w14:paraId="62079845" w14:textId="77777777" w:rsidR="006874A2" w:rsidRDefault="006874A2" w:rsidP="006874A2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</w:rPr>
      </w:pPr>
    </w:p>
    <w:p w14:paraId="58696768" w14:textId="77777777" w:rsidR="006874A2" w:rsidRDefault="006874A2" w:rsidP="006874A2">
      <w:pPr>
        <w:keepNext/>
        <w:spacing w:after="0" w:line="240" w:lineRule="auto"/>
      </w:pPr>
      <w:r>
        <w:rPr>
          <w:noProof/>
          <w:lang w:eastAsia="hr-HR"/>
        </w:rPr>
        <w:drawing>
          <wp:inline distT="0" distB="0" distL="0" distR="0" wp14:anchorId="000E1B6A" wp14:editId="383E50D4">
            <wp:extent cx="5991225" cy="1314450"/>
            <wp:effectExtent l="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EB0E08A" w14:textId="77777777" w:rsidR="006874A2" w:rsidRDefault="006874A2" w:rsidP="006874A2">
      <w:pPr>
        <w:pStyle w:val="Caption"/>
      </w:pPr>
    </w:p>
    <w:p w14:paraId="42A2ED38" w14:textId="77777777" w:rsidR="006874A2" w:rsidRDefault="006874A2" w:rsidP="006874A2">
      <w:pPr>
        <w:pStyle w:val="Caption"/>
        <w:rPr>
          <w:rFonts w:cstheme="minorHAnsi"/>
          <w:sz w:val="22"/>
        </w:rPr>
      </w:pPr>
      <w:r>
        <w:t xml:space="preserve">Prikaz </w:t>
      </w:r>
      <w:r w:rsidR="005879A6">
        <w:rPr>
          <w:noProof/>
        </w:rPr>
        <w:fldChar w:fldCharType="begin"/>
      </w:r>
      <w:r w:rsidR="005879A6">
        <w:rPr>
          <w:noProof/>
        </w:rPr>
        <w:instrText xml:space="preserve"> SEQ Figure \* ARABIC </w:instrText>
      </w:r>
      <w:r w:rsidR="005879A6">
        <w:rPr>
          <w:noProof/>
        </w:rPr>
        <w:fldChar w:fldCharType="separate"/>
      </w:r>
      <w:r>
        <w:rPr>
          <w:noProof/>
        </w:rPr>
        <w:t>5</w:t>
      </w:r>
      <w:r w:rsidR="005879A6">
        <w:rPr>
          <w:noProof/>
        </w:rPr>
        <w:fldChar w:fldCharType="end"/>
      </w:r>
      <w:r>
        <w:t xml:space="preserve"> - Odobrena sredstva za programe glazbe i glazbeno-scenske umjetnosti u 2023. i 2022. godini</w:t>
      </w:r>
    </w:p>
    <w:p w14:paraId="7F734413" w14:textId="3BC2CC17" w:rsidR="006874A2" w:rsidRDefault="006874A2" w:rsidP="006874A2">
      <w:p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cstheme="minorHAnsi"/>
        </w:rPr>
        <w:t xml:space="preserve">Na temelju prijedloga Kulturnog vijeća i Stručnog povjerenstva financijski će se podržati </w:t>
      </w:r>
      <w:r>
        <w:rPr>
          <w:rFonts w:eastAsia="Times New Roman" w:cstheme="minorHAnsi"/>
          <w:b/>
          <w:shd w:val="clear" w:color="auto" w:fill="FFFFFF"/>
        </w:rPr>
        <w:t>440 programa s ukupnim iznosom od 13.834.600,00 kuna / 1.836.166,97 eura.</w:t>
      </w:r>
      <w:r>
        <w:rPr>
          <w:rFonts w:eastAsia="Times New Roman" w:cstheme="minorHAnsi"/>
          <w:shd w:val="clear" w:color="auto" w:fill="FFFFFF"/>
        </w:rPr>
        <w:t xml:space="preserve"> </w:t>
      </w:r>
    </w:p>
    <w:p w14:paraId="50D8CB8A" w14:textId="77777777" w:rsidR="006F4CB8" w:rsidRDefault="006F4CB8" w:rsidP="006874A2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14:paraId="040778BA" w14:textId="15F959A8" w:rsidR="006874A2" w:rsidRDefault="006F4CB8" w:rsidP="006874A2">
      <w:pPr>
        <w:spacing w:after="0" w:line="240" w:lineRule="auto"/>
      </w:pPr>
      <w:r>
        <w:rPr>
          <w:noProof/>
          <w:lang w:eastAsia="hr-HR"/>
        </w:rPr>
        <w:lastRenderedPageBreak/>
        <w:drawing>
          <wp:inline distT="0" distB="0" distL="0" distR="0" wp14:anchorId="19F140F9" wp14:editId="2D119AAB">
            <wp:extent cx="5253990" cy="3979044"/>
            <wp:effectExtent l="0" t="0" r="3810" b="254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14:paraId="2DAF39BC" w14:textId="15A75C6B" w:rsidR="006874A2" w:rsidRDefault="006874A2" w:rsidP="006874A2">
      <w:pPr>
        <w:keepNext/>
        <w:shd w:val="clear" w:color="auto" w:fill="FFFFFF"/>
        <w:spacing w:after="0" w:line="240" w:lineRule="auto"/>
        <w:jc w:val="both"/>
      </w:pPr>
    </w:p>
    <w:p w14:paraId="3646A3AF" w14:textId="77777777" w:rsidR="006874A2" w:rsidRDefault="006874A2" w:rsidP="006874A2">
      <w:pPr>
        <w:keepNext/>
        <w:shd w:val="clear" w:color="auto" w:fill="FFFFFF"/>
        <w:spacing w:after="0" w:line="240" w:lineRule="auto"/>
        <w:jc w:val="both"/>
      </w:pPr>
    </w:p>
    <w:p w14:paraId="014D2BD2" w14:textId="171D5840" w:rsidR="006874A2" w:rsidRDefault="006874A2" w:rsidP="000362C5">
      <w:pPr>
        <w:pStyle w:val="Caption"/>
        <w:jc w:val="both"/>
      </w:pPr>
      <w:r>
        <w:t xml:space="preserve">Prikaz </w:t>
      </w:r>
      <w:r w:rsidR="005879A6">
        <w:rPr>
          <w:i w:val="0"/>
          <w:iCs w:val="0"/>
          <w:noProof/>
          <w:color w:val="auto"/>
          <w:sz w:val="22"/>
          <w:szCs w:val="22"/>
        </w:rPr>
        <w:fldChar w:fldCharType="begin"/>
      </w:r>
      <w:r w:rsidR="005879A6">
        <w:rPr>
          <w:i w:val="0"/>
          <w:iCs w:val="0"/>
          <w:noProof/>
          <w:color w:val="auto"/>
          <w:sz w:val="22"/>
          <w:szCs w:val="22"/>
        </w:rPr>
        <w:instrText xml:space="preserve"> SEQ Figure \* ARABIC </w:instrText>
      </w:r>
      <w:r w:rsidR="005879A6">
        <w:rPr>
          <w:i w:val="0"/>
          <w:iCs w:val="0"/>
          <w:noProof/>
          <w:color w:val="auto"/>
          <w:sz w:val="22"/>
          <w:szCs w:val="22"/>
        </w:rPr>
        <w:fldChar w:fldCharType="separate"/>
      </w:r>
      <w:r>
        <w:rPr>
          <w:noProof/>
        </w:rPr>
        <w:t>6</w:t>
      </w:r>
      <w:r w:rsidR="005879A6">
        <w:rPr>
          <w:i w:val="0"/>
          <w:iCs w:val="0"/>
          <w:noProof/>
          <w:color w:val="auto"/>
          <w:sz w:val="22"/>
          <w:szCs w:val="22"/>
        </w:rPr>
        <w:fldChar w:fldCharType="end"/>
      </w:r>
      <w:r>
        <w:t xml:space="preserve"> - Raspodjela sredstava za programe glazbene i glazbeno-scenske umjetnosti po potprogramskim djelatnostima u 2023. godini</w:t>
      </w:r>
    </w:p>
    <w:p w14:paraId="400A9316" w14:textId="77777777" w:rsidR="006874A2" w:rsidRPr="006874A2" w:rsidRDefault="006874A2" w:rsidP="006874A2">
      <w:pPr>
        <w:jc w:val="both"/>
        <w:rPr>
          <w:b/>
          <w:u w:val="single"/>
        </w:rPr>
      </w:pPr>
      <w:r w:rsidRPr="006874A2">
        <w:rPr>
          <w:b/>
          <w:u w:val="single"/>
        </w:rPr>
        <w:t>KULTURNO-UMJETNIČK</w:t>
      </w:r>
      <w:r>
        <w:rPr>
          <w:b/>
          <w:u w:val="single"/>
        </w:rPr>
        <w:t xml:space="preserve">I </w:t>
      </w:r>
      <w:r w:rsidRPr="006874A2">
        <w:rPr>
          <w:b/>
          <w:u w:val="single"/>
        </w:rPr>
        <w:t>AMATERIZ</w:t>
      </w:r>
      <w:r>
        <w:rPr>
          <w:b/>
          <w:u w:val="single"/>
        </w:rPr>
        <w:t>A</w:t>
      </w:r>
      <w:r w:rsidRPr="006874A2">
        <w:rPr>
          <w:b/>
          <w:u w:val="single"/>
        </w:rPr>
        <w:t>M</w:t>
      </w:r>
    </w:p>
    <w:p w14:paraId="70B99572" w14:textId="77777777" w:rsidR="006874A2" w:rsidRDefault="006874A2" w:rsidP="006874A2">
      <w:pPr>
        <w:jc w:val="both"/>
        <w:rPr>
          <w:b/>
        </w:rPr>
      </w:pPr>
      <w:r w:rsidRPr="006874A2">
        <w:rPr>
          <w:b/>
        </w:rPr>
        <w:t xml:space="preserve">Iznosom od 6.297.500,00 kuna / 835.821,89 eura Ministarstvo kulture i medija sufinancirat će 310 programa kulturno-umjetničkog amaterizma, odabranih među 625 pristiglih prijava na </w:t>
      </w:r>
      <w:r w:rsidRPr="006874A2">
        <w:rPr>
          <w:b/>
          <w:i/>
        </w:rPr>
        <w:t xml:space="preserve">Javni poziv za predlaganje javnih potreba u kulturi Republike </w:t>
      </w:r>
      <w:r>
        <w:rPr>
          <w:b/>
          <w:i/>
        </w:rPr>
        <w:t>Hrvatske za 2023. godinu</w:t>
      </w:r>
      <w:r>
        <w:rPr>
          <w:b/>
        </w:rPr>
        <w:t xml:space="preserve">.  </w:t>
      </w:r>
    </w:p>
    <w:p w14:paraId="1A09F29E" w14:textId="77777777" w:rsidR="006874A2" w:rsidRDefault="006874A2" w:rsidP="006874A2">
      <w:pPr>
        <w:jc w:val="both"/>
        <w:rPr>
          <w:b/>
        </w:rPr>
      </w:pPr>
    </w:p>
    <w:p w14:paraId="0AAD4AF4" w14:textId="77777777" w:rsidR="006874A2" w:rsidRDefault="006874A2" w:rsidP="006874A2">
      <w:pPr>
        <w:keepNext/>
      </w:pPr>
      <w:r>
        <w:rPr>
          <w:noProof/>
          <w:lang w:eastAsia="hr-HR"/>
        </w:rPr>
        <w:drawing>
          <wp:inline distT="0" distB="0" distL="0" distR="0" wp14:anchorId="4288693B" wp14:editId="0639DA3F">
            <wp:extent cx="5772150" cy="15621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52124EB" w14:textId="77777777" w:rsidR="006874A2" w:rsidRDefault="006874A2" w:rsidP="006874A2">
      <w:pPr>
        <w:pStyle w:val="Caption"/>
      </w:pPr>
      <w:r>
        <w:t>Prikaz 1 - Odobrena sredstva za programe kulturno-umjetničkog amaterizma u 2023. i 2022. godini</w:t>
      </w:r>
    </w:p>
    <w:p w14:paraId="539220A3" w14:textId="77777777" w:rsidR="006874A2" w:rsidRPr="006874A2" w:rsidRDefault="006874A2" w:rsidP="006874A2"/>
    <w:p w14:paraId="27FB022E" w14:textId="77777777" w:rsidR="006874A2" w:rsidRDefault="006874A2" w:rsidP="006874A2">
      <w:pPr>
        <w:pStyle w:val="Caption"/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7476663F" wp14:editId="7D3D6409">
            <wp:extent cx="6019800" cy="4105275"/>
            <wp:effectExtent l="0" t="0" r="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38F66F1" w14:textId="77777777" w:rsidR="006874A2" w:rsidRDefault="006874A2" w:rsidP="006874A2">
      <w:pPr>
        <w:pStyle w:val="Caption"/>
        <w:jc w:val="both"/>
      </w:pPr>
    </w:p>
    <w:p w14:paraId="0F6D094A" w14:textId="77777777" w:rsidR="006874A2" w:rsidRDefault="006874A2" w:rsidP="006874A2">
      <w:pPr>
        <w:pStyle w:val="Caption"/>
        <w:jc w:val="both"/>
      </w:pPr>
      <w:r>
        <w:t>Prikaz 2 Raspodjela sredstava za programe kulturno-umjetničkog amaterizma po potprogramskim djelatnostima u 2023. godini</w:t>
      </w:r>
    </w:p>
    <w:p w14:paraId="650A1846" w14:textId="77777777" w:rsidR="006874A2" w:rsidRDefault="006874A2" w:rsidP="006874A2"/>
    <w:p w14:paraId="4F521EB4" w14:textId="77777777" w:rsidR="006874A2" w:rsidRPr="006874A2" w:rsidRDefault="006874A2" w:rsidP="006874A2">
      <w:pPr>
        <w:rPr>
          <w:rFonts w:cstheme="minorHAnsi"/>
          <w:b/>
          <w:u w:val="single"/>
        </w:rPr>
      </w:pPr>
      <w:r w:rsidRPr="006874A2">
        <w:rPr>
          <w:rFonts w:cstheme="minorHAnsi"/>
          <w:b/>
          <w:u w:val="single"/>
        </w:rPr>
        <w:t>ČASOPISI I ELEKTRONIČKE PUBLIKACIJE, KNJIŽEVNE MANIFESTACIJE, IZDAVANJE KNJIGA, KNJIŽEVNI PROGRAMI U KNJIŽARAMA I PROGRAMI POTICANJA KNJIŽEVNOG STVARALAŠTVA</w:t>
      </w:r>
    </w:p>
    <w:p w14:paraId="1C70C11A" w14:textId="18AD0B39" w:rsidR="006874A2" w:rsidRPr="006874A2" w:rsidRDefault="006874A2" w:rsidP="006874A2">
      <w:pPr>
        <w:rPr>
          <w:b/>
        </w:rPr>
      </w:pPr>
      <w:r>
        <w:rPr>
          <w:rFonts w:cstheme="minorHAnsi"/>
          <w:b/>
        </w:rPr>
        <w:t xml:space="preserve">Iznosom od </w:t>
      </w:r>
      <w:r>
        <w:rPr>
          <w:b/>
        </w:rPr>
        <w:t xml:space="preserve">19.768.600,00 kn/2.623.744,11€ podržani su </w:t>
      </w:r>
      <w:r>
        <w:rPr>
          <w:rFonts w:cstheme="minorHAnsi"/>
          <w:b/>
        </w:rPr>
        <w:t xml:space="preserve">programi časopisa i elektroničkih publikacija, književnih manifestacija, izdavanja knjiga, književnih programa u knjižarama te programi poticanja književnog </w:t>
      </w:r>
      <w:r w:rsidRPr="006874A2">
        <w:rPr>
          <w:rFonts w:cstheme="minorHAnsi"/>
          <w:b/>
        </w:rPr>
        <w:t>stvaralaštva</w:t>
      </w:r>
      <w:r>
        <w:rPr>
          <w:rFonts w:cstheme="minorHAnsi"/>
          <w:b/>
        </w:rPr>
        <w:t>.</w:t>
      </w:r>
    </w:p>
    <w:p w14:paraId="2CACB087" w14:textId="77777777" w:rsidR="006874A2" w:rsidRDefault="006874A2" w:rsidP="006874A2">
      <w:pPr>
        <w:rPr>
          <w:rFonts w:cstheme="minorHAnsi"/>
          <w:b/>
        </w:rPr>
      </w:pPr>
      <w:r>
        <w:rPr>
          <w:rFonts w:cstheme="minorHAnsi"/>
          <w:b/>
        </w:rPr>
        <w:t>1. Časopisi i elektroničke publikacije</w:t>
      </w:r>
    </w:p>
    <w:p w14:paraId="77FCF9B7" w14:textId="77777777" w:rsidR="006874A2" w:rsidRDefault="006874A2" w:rsidP="006874A2">
      <w:pPr>
        <w:rPr>
          <w:rFonts w:cstheme="minorHAnsi"/>
        </w:rPr>
      </w:pPr>
      <w:r>
        <w:rPr>
          <w:rFonts w:cstheme="minorHAnsi"/>
        </w:rPr>
        <w:t>Na temelju prijedloga Kulturnog vijeća podržano je  55 programa u ukupnom iznosu od 3.785.000,00 kn / 502.355,83 €, od čega 18 elektroničkih publikacija koje pokrivaju različita područja kulture i umjetnosti – od književnosti, preko kazališta i glazbe, do filma i arhitekture.</w:t>
      </w:r>
    </w:p>
    <w:p w14:paraId="3F04D70B" w14:textId="77777777" w:rsidR="006874A2" w:rsidRDefault="006874A2" w:rsidP="006874A2">
      <w:pPr>
        <w:rPr>
          <w:rFonts w:cstheme="minorHAnsi"/>
          <w:b/>
        </w:rPr>
      </w:pPr>
      <w:r>
        <w:rPr>
          <w:rFonts w:cstheme="minorHAnsi"/>
          <w:b/>
        </w:rPr>
        <w:t>2. Književne manifestacije</w:t>
      </w:r>
    </w:p>
    <w:p w14:paraId="37BA9AB0" w14:textId="77777777" w:rsidR="006874A2" w:rsidRDefault="006874A2" w:rsidP="006874A2">
      <w:pPr>
        <w:rPr>
          <w:rFonts w:cstheme="minorHAnsi"/>
        </w:rPr>
      </w:pPr>
      <w:r>
        <w:rPr>
          <w:rFonts w:cstheme="minorHAnsi"/>
        </w:rPr>
        <w:t>Za sufinanciranje programa književnih manifestacija zaprimljeno je 166 prijava te donijeta odluka o pružanju financijske potpore za 81 program u ukupnom iznosu od 4.278.600,00 kn / 567.867,81 €.</w:t>
      </w:r>
    </w:p>
    <w:p w14:paraId="73D40C1C" w14:textId="77777777" w:rsidR="0095093D" w:rsidRDefault="0095093D" w:rsidP="006874A2">
      <w:pPr>
        <w:rPr>
          <w:rFonts w:cstheme="minorHAnsi"/>
          <w:b/>
        </w:rPr>
      </w:pPr>
    </w:p>
    <w:p w14:paraId="0CCD15AD" w14:textId="39685D67" w:rsidR="006874A2" w:rsidRDefault="006874A2" w:rsidP="006874A2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3. Književni programi u knjižarama</w:t>
      </w:r>
    </w:p>
    <w:p w14:paraId="32C5491E" w14:textId="77777777" w:rsidR="006874A2" w:rsidRDefault="006874A2" w:rsidP="006874A2">
      <w:pPr>
        <w:rPr>
          <w:rFonts w:cstheme="minorHAnsi"/>
        </w:rPr>
      </w:pPr>
      <w:r>
        <w:rPr>
          <w:rFonts w:cstheme="minorHAnsi"/>
        </w:rPr>
        <w:t>Za financiranje književnih programa u knjižarama na Poziv se prijavilo 13 knjižara, a prema prijedlogu Kulturnog vijeća i odluci ministrice sufinancirani su programi 9 korisnika u ukupnom iznosu od 461.000,00 kn / 61.185,21 EUR. Knjižarama se sredstva dodjeljuju za financiranje gostovanja autora i prevoditelja, potpisivanje knjiga, programe poticanja čitanja i radionice te književne klubove.</w:t>
      </w:r>
    </w:p>
    <w:p w14:paraId="5592D160" w14:textId="77777777" w:rsidR="006874A2" w:rsidRDefault="006874A2" w:rsidP="006874A2">
      <w:pPr>
        <w:rPr>
          <w:rFonts w:cstheme="minorHAnsi"/>
          <w:b/>
        </w:rPr>
      </w:pPr>
      <w:r>
        <w:rPr>
          <w:rFonts w:cstheme="minorHAnsi"/>
          <w:b/>
        </w:rPr>
        <w:t>4. Potpora izdavanju knjiga</w:t>
      </w:r>
    </w:p>
    <w:p w14:paraId="7C7722AB" w14:textId="77777777" w:rsidR="006874A2" w:rsidRDefault="006874A2" w:rsidP="006874A2">
      <w:pPr>
        <w:spacing w:after="0" w:line="240" w:lineRule="auto"/>
        <w:rPr>
          <w:rFonts w:eastAsia="Times New Roman" w:cstheme="minorHAnsi"/>
          <w:color w:val="424242"/>
          <w:shd w:val="clear" w:color="auto" w:fill="FFFFFF"/>
          <w:lang w:eastAsia="hr-HR"/>
        </w:rPr>
      </w:pPr>
      <w:r>
        <w:rPr>
          <w:rFonts w:eastAsia="Times New Roman" w:cstheme="minorHAnsi"/>
          <w:color w:val="424242"/>
          <w:shd w:val="clear" w:color="auto" w:fill="FFFFFF"/>
          <w:lang w:eastAsia="hr-HR"/>
        </w:rPr>
        <w:t>Na Poziv za financiranje javnih potreba u kulturi Republike Hrvatske za 2023. godinu za programe potpore izdavanju knjiga zaprimljeno je 145 prijava. Nakon formalne provjere te vrednovanja Kulturnog vijeća za knjižnu, nakladničku i knjižarsku djelatnost u suradnji sa Stručnim povjerenstvom za dječju knjigu (</w:t>
      </w:r>
      <w:proofErr w:type="spellStart"/>
      <w:r>
        <w:rPr>
          <w:rFonts w:eastAsia="Times New Roman" w:cstheme="minorHAnsi"/>
          <w:color w:val="424242"/>
          <w:shd w:val="clear" w:color="auto" w:fill="FFFFFF"/>
          <w:lang w:eastAsia="hr-HR"/>
        </w:rPr>
        <w:t>Isabela</w:t>
      </w:r>
      <w:proofErr w:type="spellEnd"/>
      <w:r>
        <w:rPr>
          <w:rFonts w:eastAsia="Times New Roman" w:cstheme="minorHAnsi"/>
          <w:color w:val="424242"/>
          <w:shd w:val="clear" w:color="auto" w:fill="FFFFFF"/>
          <w:lang w:eastAsia="hr-HR"/>
        </w:rPr>
        <w:t xml:space="preserve"> Mauro, predsjednica, Anda Bukvić </w:t>
      </w:r>
      <w:proofErr w:type="spellStart"/>
      <w:r>
        <w:rPr>
          <w:rFonts w:eastAsia="Times New Roman" w:cstheme="minorHAnsi"/>
          <w:color w:val="424242"/>
          <w:shd w:val="clear" w:color="auto" w:fill="FFFFFF"/>
          <w:lang w:eastAsia="hr-HR"/>
        </w:rPr>
        <w:t>Pažin</w:t>
      </w:r>
      <w:proofErr w:type="spellEnd"/>
      <w:r>
        <w:rPr>
          <w:rFonts w:eastAsia="Times New Roman" w:cstheme="minorHAnsi"/>
          <w:color w:val="424242"/>
          <w:shd w:val="clear" w:color="auto" w:fill="FFFFFF"/>
          <w:lang w:eastAsia="hr-HR"/>
        </w:rPr>
        <w:t xml:space="preserve"> i Zlatko </w:t>
      </w:r>
      <w:proofErr w:type="spellStart"/>
      <w:r>
        <w:rPr>
          <w:rFonts w:eastAsia="Times New Roman" w:cstheme="minorHAnsi"/>
          <w:color w:val="424242"/>
          <w:shd w:val="clear" w:color="auto" w:fill="FFFFFF"/>
          <w:lang w:eastAsia="hr-HR"/>
        </w:rPr>
        <w:t>Krilić</w:t>
      </w:r>
      <w:proofErr w:type="spellEnd"/>
      <w:r>
        <w:rPr>
          <w:rFonts w:eastAsia="Times New Roman" w:cstheme="minorHAnsi"/>
          <w:color w:val="424242"/>
          <w:shd w:val="clear" w:color="auto" w:fill="FFFFFF"/>
          <w:lang w:eastAsia="hr-HR"/>
        </w:rPr>
        <w:t>), ministrica je donijela odluku o dodjeli </w:t>
      </w:r>
      <w:r>
        <w:rPr>
          <w:rFonts w:eastAsia="Times New Roman" w:cstheme="minorHAnsi"/>
          <w:b/>
          <w:bCs/>
          <w:color w:val="424242"/>
          <w:shd w:val="clear" w:color="auto" w:fill="FFFFFF"/>
          <w:lang w:eastAsia="hr-HR"/>
        </w:rPr>
        <w:t>potpore izdavanju knjiga 76 nakladnika u ukupnom iznosu od 9.165.000,00 kn / 1.216.404,54 €</w:t>
      </w:r>
      <w:r>
        <w:rPr>
          <w:rFonts w:eastAsia="Times New Roman" w:cstheme="minorHAnsi"/>
          <w:color w:val="424242"/>
          <w:shd w:val="clear" w:color="auto" w:fill="FFFFFF"/>
          <w:lang w:eastAsia="hr-HR"/>
        </w:rPr>
        <w:t>.</w:t>
      </w:r>
      <w:r>
        <w:rPr>
          <w:rFonts w:eastAsia="Times New Roman" w:cstheme="minorHAnsi"/>
          <w:color w:val="424242"/>
          <w:lang w:eastAsia="hr-HR"/>
        </w:rPr>
        <w:t xml:space="preserve"> </w:t>
      </w:r>
    </w:p>
    <w:p w14:paraId="0179EF50" w14:textId="77777777" w:rsidR="006874A2" w:rsidRDefault="006874A2" w:rsidP="006874A2">
      <w:pPr>
        <w:spacing w:after="0" w:line="240" w:lineRule="auto"/>
        <w:rPr>
          <w:rFonts w:eastAsia="Times New Roman" w:cstheme="minorHAnsi"/>
          <w:color w:val="424242"/>
          <w:lang w:eastAsia="hr-HR"/>
        </w:rPr>
      </w:pPr>
    </w:p>
    <w:p w14:paraId="3DDE86D6" w14:textId="41944114" w:rsidR="006874A2" w:rsidRDefault="006874A2" w:rsidP="006874A2">
      <w:pPr>
        <w:spacing w:after="0" w:line="240" w:lineRule="auto"/>
        <w:rPr>
          <w:rFonts w:eastAsia="Times New Roman" w:cstheme="minorHAnsi"/>
          <w:b/>
          <w:bCs/>
          <w:color w:val="424242"/>
          <w:shd w:val="clear" w:color="auto" w:fill="FFFFFF"/>
          <w:lang w:eastAsia="hr-HR"/>
        </w:rPr>
      </w:pPr>
      <w:r>
        <w:rPr>
          <w:rFonts w:eastAsia="Times New Roman" w:cstheme="minorHAnsi"/>
          <w:b/>
          <w:bCs/>
          <w:color w:val="424242"/>
          <w:shd w:val="clear" w:color="auto" w:fill="FFFFFF"/>
          <w:lang w:eastAsia="hr-HR"/>
        </w:rPr>
        <w:t>Odobrenim sredstvima od 9.165.000,00 kn/1.216.404,54 € u 2023. godini sufinancirat će se objavljivanje najmanje 526 novih naslova od kojih se najmanje 54 odnosi na knjigu za djecu i mlade. Sufinancirat će se izrada 7 audio-knjiga te konverzija 242 objavljena naslova u e-</w:t>
      </w:r>
      <w:proofErr w:type="spellStart"/>
      <w:r>
        <w:rPr>
          <w:rFonts w:eastAsia="Times New Roman" w:cstheme="minorHAnsi"/>
          <w:b/>
          <w:bCs/>
          <w:color w:val="424242"/>
          <w:shd w:val="clear" w:color="auto" w:fill="FFFFFF"/>
          <w:lang w:eastAsia="hr-HR"/>
        </w:rPr>
        <w:t>pub</w:t>
      </w:r>
      <w:proofErr w:type="spellEnd"/>
      <w:r>
        <w:rPr>
          <w:rFonts w:eastAsia="Times New Roman" w:cstheme="minorHAnsi"/>
          <w:b/>
          <w:bCs/>
          <w:color w:val="424242"/>
          <w:shd w:val="clear" w:color="auto" w:fill="FFFFFF"/>
          <w:lang w:eastAsia="hr-HR"/>
        </w:rPr>
        <w:t xml:space="preserve"> formatu.</w:t>
      </w:r>
    </w:p>
    <w:p w14:paraId="6F917F05" w14:textId="77777777" w:rsidR="006F4CB8" w:rsidRDefault="006F4CB8" w:rsidP="006874A2">
      <w:pPr>
        <w:spacing w:after="0" w:line="240" w:lineRule="auto"/>
        <w:rPr>
          <w:rFonts w:eastAsia="Times New Roman" w:cstheme="minorHAnsi"/>
          <w:b/>
          <w:bCs/>
          <w:color w:val="424242"/>
          <w:shd w:val="clear" w:color="auto" w:fill="FFFFFF"/>
          <w:lang w:eastAsia="hr-HR"/>
        </w:rPr>
      </w:pPr>
    </w:p>
    <w:p w14:paraId="1CE7911E" w14:textId="77777777" w:rsidR="006874A2" w:rsidRDefault="006874A2" w:rsidP="006874A2">
      <w:pPr>
        <w:spacing w:after="0" w:line="240" w:lineRule="auto"/>
        <w:rPr>
          <w:rFonts w:eastAsia="Times New Roman" w:cstheme="minorHAnsi"/>
          <w:b/>
          <w:bCs/>
          <w:color w:val="424242"/>
          <w:shd w:val="clear" w:color="auto" w:fill="FFFFFF"/>
          <w:lang w:eastAsia="hr-HR"/>
        </w:rPr>
      </w:pPr>
      <w:r>
        <w:rPr>
          <w:noProof/>
          <w:lang w:eastAsia="hr-HR"/>
        </w:rPr>
        <w:drawing>
          <wp:inline distT="0" distB="0" distL="0" distR="0" wp14:anchorId="3733B5DD" wp14:editId="55D4BE38">
            <wp:extent cx="5638800" cy="1590675"/>
            <wp:effectExtent l="0" t="0" r="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BE485F1" w14:textId="43B33CDF" w:rsidR="006874A2" w:rsidRDefault="006874A2" w:rsidP="0032092B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color w:val="424242"/>
          <w:lang w:eastAsia="hr-HR"/>
        </w:rPr>
        <w:br/>
      </w:r>
      <w:r>
        <w:rPr>
          <w:rFonts w:eastAsia="Times New Roman" w:cstheme="minorHAnsi"/>
          <w:color w:val="424242"/>
          <w:lang w:eastAsia="hr-HR"/>
        </w:rPr>
        <w:br/>
      </w:r>
      <w:r>
        <w:rPr>
          <w:rFonts w:eastAsia="Times New Roman" w:cstheme="minorHAnsi"/>
          <w:color w:val="424242"/>
          <w:shd w:val="clear" w:color="auto" w:fill="FFFFFF"/>
          <w:lang w:eastAsia="hr-HR"/>
        </w:rPr>
        <w:t> </w:t>
      </w:r>
    </w:p>
    <w:p w14:paraId="68F3628A" w14:textId="77777777" w:rsidR="006874A2" w:rsidRDefault="006874A2" w:rsidP="006874A2">
      <w:pPr>
        <w:rPr>
          <w:rFonts w:cstheme="minorHAnsi"/>
          <w:b/>
        </w:rPr>
      </w:pPr>
      <w:r>
        <w:rPr>
          <w:rFonts w:cstheme="minorHAnsi"/>
          <w:b/>
        </w:rPr>
        <w:t xml:space="preserve">5. Poticanje književnog stvaralaštva </w:t>
      </w:r>
    </w:p>
    <w:p w14:paraId="5C1828DD" w14:textId="77777777" w:rsidR="006874A2" w:rsidRDefault="006874A2" w:rsidP="006874A2">
      <w:pPr>
        <w:rPr>
          <w:rFonts w:eastAsia="Calibri" w:cstheme="minorHAnsi"/>
        </w:rPr>
      </w:pPr>
      <w:r>
        <w:rPr>
          <w:rFonts w:cstheme="minorHAnsi"/>
        </w:rPr>
        <w:t>Potporu za poticanje književnog stvaralaštva u 2023. godini koristit će 68 autora, a dodijeljene su potpore u ukupnom iznosu od 2.079.000,00 kn/</w:t>
      </w:r>
      <w:r>
        <w:rPr>
          <w:rFonts w:eastAsia="Calibri" w:cstheme="minorHAnsi"/>
        </w:rPr>
        <w:t>275.930,72 €.</w:t>
      </w:r>
    </w:p>
    <w:p w14:paraId="25E4933C" w14:textId="77777777" w:rsidR="006874A2" w:rsidRDefault="006874A2" w:rsidP="006874A2">
      <w:pPr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5D924980" wp14:editId="501AA790">
            <wp:extent cx="5600700" cy="81915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CF11C51" w14:textId="77777777" w:rsidR="006874A2" w:rsidRDefault="006874A2" w:rsidP="006874A2">
      <w:pPr>
        <w:rPr>
          <w:rFonts w:cstheme="minorHAnsi"/>
        </w:rPr>
      </w:pPr>
      <w:r>
        <w:rPr>
          <w:rFonts w:cstheme="minorHAnsi"/>
        </w:rPr>
        <w:t>Prema mišljenju Stručnog povjerenstva za dječju knjigu dodijeljene su 4 tromjesečne potpore za rad na djelima namijenjenima djeci i mladima. Književni prevoditelji u 2023 godini koristit će 15 potpora za poticanje književnog stvaralaštva za prijevode čak s 8 jezika.</w:t>
      </w:r>
    </w:p>
    <w:p w14:paraId="58D8401E" w14:textId="77777777" w:rsidR="006874A2" w:rsidRDefault="006874A2" w:rsidP="006874A2">
      <w:pPr>
        <w:rPr>
          <w:rFonts w:cstheme="minorHAnsi"/>
        </w:rPr>
      </w:pPr>
      <w:r>
        <w:rPr>
          <w:noProof/>
          <w:lang w:eastAsia="hr-HR"/>
        </w:rPr>
        <w:lastRenderedPageBreak/>
        <w:drawing>
          <wp:inline distT="0" distB="0" distL="0" distR="0" wp14:anchorId="299B2704" wp14:editId="403486EA">
            <wp:extent cx="5924550" cy="85725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B209FED" w14:textId="77777777" w:rsidR="006874A2" w:rsidRDefault="006874A2" w:rsidP="006874A2">
      <w:pPr>
        <w:rPr>
          <w:rFonts w:cstheme="minorHAnsi"/>
        </w:rPr>
      </w:pPr>
      <w:r>
        <w:rPr>
          <w:rFonts w:cstheme="minorHAnsi"/>
        </w:rPr>
        <w:t>U skladu s pristiglim prijavama naviše je potpora dodijeljeno za romane. Prvi put je i jedna godišnja potpora dodijeljena za rad na autorskom stripu.</w:t>
      </w:r>
    </w:p>
    <w:p w14:paraId="2DA44FEB" w14:textId="77777777" w:rsidR="006874A2" w:rsidRDefault="006874A2" w:rsidP="006874A2">
      <w:pPr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3A289D45" wp14:editId="432626E0">
            <wp:extent cx="5972175" cy="2857500"/>
            <wp:effectExtent l="0" t="0" r="9525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39AB7ED" w14:textId="77777777" w:rsidR="006874A2" w:rsidRDefault="006874A2" w:rsidP="006874A2">
      <w:pPr>
        <w:rPr>
          <w:rFonts w:cstheme="minorHAnsi"/>
        </w:rPr>
      </w:pPr>
      <w:r>
        <w:rPr>
          <w:rFonts w:cstheme="minorHAnsi"/>
        </w:rPr>
        <w:t>Dodijeljene su 43 tromjesečne potpore u iznosu od 21.000,00 kn, 22 polugodišnje u iznosu od 42.000,00 kn te 3 godišnje u iznosu od 84.000,00 kn.</w:t>
      </w:r>
    </w:p>
    <w:p w14:paraId="318EB280" w14:textId="77777777" w:rsidR="006874A2" w:rsidRDefault="006874A2" w:rsidP="006874A2">
      <w:pPr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29AE2BCE" wp14:editId="19D33BCE">
            <wp:extent cx="5943600" cy="11430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A62A334" w14:textId="77777777" w:rsidR="006874A2" w:rsidRDefault="006874A2" w:rsidP="006874A2">
      <w:pPr>
        <w:rPr>
          <w:rFonts w:cstheme="minorHAnsi"/>
        </w:rPr>
      </w:pPr>
    </w:p>
    <w:p w14:paraId="451BDF67" w14:textId="77777777" w:rsidR="006874A2" w:rsidRDefault="006874A2" w:rsidP="006874A2">
      <w:pPr>
        <w:rPr>
          <w:rFonts w:cstheme="minorHAnsi"/>
          <w:b/>
          <w:color w:val="FF0000"/>
          <w:u w:val="single"/>
        </w:rPr>
      </w:pPr>
    </w:p>
    <w:p w14:paraId="10E92432" w14:textId="77777777" w:rsidR="006874A2" w:rsidRDefault="006874A2" w:rsidP="006874A2">
      <w:pPr>
        <w:spacing w:after="0"/>
        <w:rPr>
          <w:rFonts w:cstheme="minorHAnsi"/>
          <w:b/>
          <w:bCs/>
        </w:rPr>
      </w:pPr>
    </w:p>
    <w:p w14:paraId="5B1E5765" w14:textId="77777777" w:rsidR="006874A2" w:rsidRDefault="006874A2" w:rsidP="006874A2">
      <w:pPr>
        <w:rPr>
          <w:rFonts w:cstheme="minorHAnsi"/>
          <w:bCs/>
        </w:rPr>
      </w:pPr>
    </w:p>
    <w:p w14:paraId="360BB79A" w14:textId="77777777" w:rsidR="006874A2" w:rsidRDefault="006874A2" w:rsidP="006874A2"/>
    <w:p w14:paraId="7A8F56B9" w14:textId="77777777" w:rsidR="005407EC" w:rsidRDefault="005407EC"/>
    <w:sectPr w:rsidR="00540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62B"/>
    <w:multiLevelType w:val="hybridMultilevel"/>
    <w:tmpl w:val="B47C9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661D"/>
    <w:multiLevelType w:val="hybridMultilevel"/>
    <w:tmpl w:val="8CD6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219"/>
    <w:multiLevelType w:val="hybridMultilevel"/>
    <w:tmpl w:val="14A4406E"/>
    <w:lvl w:ilvl="0" w:tplc="18861D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2"/>
    <w:rsid w:val="000362C5"/>
    <w:rsid w:val="00096C9C"/>
    <w:rsid w:val="002A3987"/>
    <w:rsid w:val="0032092B"/>
    <w:rsid w:val="00381065"/>
    <w:rsid w:val="005407EC"/>
    <w:rsid w:val="005879A6"/>
    <w:rsid w:val="006874A2"/>
    <w:rsid w:val="006F4CB8"/>
    <w:rsid w:val="0095093D"/>
    <w:rsid w:val="00C60F8E"/>
    <w:rsid w:val="00E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30EA"/>
  <w15:chartTrackingRefBased/>
  <w15:docId w15:val="{942706C1-0091-4D11-B687-32217D4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87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A2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874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4A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4A2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687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ajcen\Desktop\potpora%202023%20odobreni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ajcen\Desktop\knji&#382;evno%20stvarala&#353;tvo%2020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ajcen\Desktop\knji&#382;evno%20stvarala&#353;tvo%202023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ajcen\Desktop\knji&#382;evno%20stvarala&#353;tvo%202023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ajcen\Desktop\knji&#382;evno%20stvarala&#353;tvo%202023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28516948201988"/>
          <c:y val="9.8368651287010181E-2"/>
          <c:w val="0.64894832408244052"/>
          <c:h val="0.45638566607745462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chemeClr val="accent1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48-42C9-AFC1-C600BFEA91C8}"/>
              </c:ext>
            </c:extLst>
          </c:dPt>
          <c:dPt>
            <c:idx val="1"/>
            <c:bubble3D val="0"/>
            <c:spPr>
              <a:solidFill>
                <a:schemeClr val="accent2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48-42C9-AFC1-C600BFEA91C8}"/>
              </c:ext>
            </c:extLst>
          </c:dPt>
          <c:dPt>
            <c:idx val="2"/>
            <c:bubble3D val="0"/>
            <c:spPr>
              <a:solidFill>
                <a:schemeClr val="accent3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E48-42C9-AFC1-C600BFEA91C8}"/>
              </c:ext>
            </c:extLst>
          </c:dPt>
          <c:dPt>
            <c:idx val="3"/>
            <c:bubble3D val="0"/>
            <c:spPr>
              <a:solidFill>
                <a:schemeClr val="accent4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E48-42C9-AFC1-C600BFEA91C8}"/>
              </c:ext>
            </c:extLst>
          </c:dPt>
          <c:dPt>
            <c:idx val="4"/>
            <c:bubble3D val="0"/>
            <c:spPr>
              <a:solidFill>
                <a:schemeClr val="accent5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E48-42C9-AFC1-C600BFEA91C8}"/>
              </c:ext>
            </c:extLst>
          </c:dPt>
          <c:dPt>
            <c:idx val="5"/>
            <c:bubble3D val="0"/>
            <c:spPr>
              <a:solidFill>
                <a:schemeClr val="accent6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E48-42C9-AFC1-C600BFEA91C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E48-42C9-AFC1-C600BFEA91C8}"/>
              </c:ext>
            </c:extLst>
          </c:dPt>
          <c:dLbls>
            <c:dLbl>
              <c:idx val="5"/>
              <c:layout>
                <c:manualLayout>
                  <c:x val="6.4025383744966448E-3"/>
                  <c:y val="2.97296428536104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E48-42C9-AFC1-C600BFEA91C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474356360030551E-3"/>
                  <c:y val="-5.81805249224419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E48-42C9-AFC1-C600BFEA91C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Cjelogodišnji izložbeni programi (111)</c:v>
                </c:pt>
                <c:pt idx="1">
                  <c:v>Manifestacije iz područja vizualnih umjetnosti (46)</c:v>
                </c:pt>
                <c:pt idx="2">
                  <c:v>Edukativni i rezidencijalni programi (43)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111</c:v>
                </c:pt>
                <c:pt idx="1">
                  <c:v>46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E48-42C9-AFC1-C600BFEA91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51131879299693E-2"/>
          <c:y val="5.2343564120866048E-2"/>
          <c:w val="0.89709935524485129"/>
          <c:h val="0.55270045205805385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Sheet3!$D$20:$D$21</c:f>
              <c:strCache>
                <c:ptCount val="2"/>
                <c:pt idx="0">
                  <c:v>2023.</c:v>
                </c:pt>
                <c:pt idx="1">
                  <c:v>2022. </c:v>
                </c:pt>
              </c:strCache>
            </c:strRef>
          </c:cat>
          <c:val>
            <c:numRef>
              <c:f>Sheet3!$E$20:$E$21</c:f>
              <c:numCache>
                <c:formatCode>"kn"#,##0.00_);[Red]\("kn"#,##0.00\)</c:formatCode>
                <c:ptCount val="2"/>
                <c:pt idx="0" formatCode="#,##0.00\ &quot;kn&quot;;[Red]#,##0.00\ &quot;kn&quot;">
                  <c:v>13834600</c:v>
                </c:pt>
                <c:pt idx="1">
                  <c:v>10835000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F1-4033-8B27-D9293AA415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71426720"/>
        <c:axId val="571432704"/>
      </c:barChart>
      <c:catAx>
        <c:axId val="571426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1432704"/>
        <c:crosses val="autoZero"/>
        <c:auto val="1"/>
        <c:lblAlgn val="ctr"/>
        <c:lblOffset val="100"/>
        <c:noMultiLvlLbl val="0"/>
      </c:catAx>
      <c:valAx>
        <c:axId val="5714327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kn&quot;;[Red]#,##0.00\ &quot;kn&quot;" sourceLinked="1"/>
        <c:majorTickMark val="none"/>
        <c:minorTickMark val="none"/>
        <c:tickLblPos val="nextTo"/>
        <c:crossAx val="57142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221195700791207E-2"/>
          <c:y val="9.0940735025421549E-2"/>
          <c:w val="0.97152103559870551"/>
          <c:h val="0.356626873253746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3E-4771-813D-B5EABF20F6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3E-4771-813D-B5EABF20F6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3E-4771-813D-B5EABF20F6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13E-4771-813D-B5EABF20F6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13E-4771-813D-B5EABF20F6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13E-4771-813D-B5EABF20F6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13E-4771-813D-B5EABF20F6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Sheet3!$B$3:$B$9</c:f>
              <c:strCache>
                <c:ptCount val="7"/>
                <c:pt idx="0">
                  <c:v>Festivali/manifestacije - 5.636.000,00 kn / 748.025,75eur </c:v>
                </c:pt>
                <c:pt idx="1">
                  <c:v>Koncerti/koncertna - 4.309.100,00 kn / 571.915,85 eur</c:v>
                </c:pt>
                <c:pt idx="2">
                  <c:v>Majstorski seminari - 870.000,00 kn / 115.468,84 eur</c:v>
                </c:pt>
                <c:pt idx="3">
                  <c:v>Glazbeno nakladništvo - 942.000,00 kn/ 125.024,89 eur</c:v>
                </c:pt>
                <c:pt idx="4">
                  <c:v>Glazbena natjecanja - 450.000,00 kn / 59.725,26  eur</c:v>
                </c:pt>
                <c:pt idx="5">
                  <c:v>Ostalo (strukovne nagrade, narudžbe  - 127.500,00 kn/ 16.922,16  eur</c:v>
                </c:pt>
                <c:pt idx="6">
                  <c:v>Rock glazba i klupski programi - 1.500.000,00 kn/ 199.084,21  eur</c:v>
                </c:pt>
              </c:strCache>
            </c:strRef>
          </c:cat>
          <c:val>
            <c:numRef>
              <c:f>Sheet3!$C$3:$C$9</c:f>
              <c:numCache>
                <c:formatCode>#,##0.00</c:formatCode>
                <c:ptCount val="7"/>
                <c:pt idx="0" formatCode="&quot;kn&quot;#,##0.00_);[Red]\(&quot;kn&quot;#,##0.00\)">
                  <c:v>5636000</c:v>
                </c:pt>
                <c:pt idx="1">
                  <c:v>4309100</c:v>
                </c:pt>
                <c:pt idx="2">
                  <c:v>870000</c:v>
                </c:pt>
                <c:pt idx="3">
                  <c:v>942000</c:v>
                </c:pt>
                <c:pt idx="4">
                  <c:v>450000</c:v>
                </c:pt>
                <c:pt idx="5">
                  <c:v>127500</c:v>
                </c:pt>
                <c:pt idx="6">
                  <c:v>1500000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13E-4771-813D-B5EABF20F66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303391169275576"/>
          <c:y val="0.48986135263053077"/>
          <c:w val="0.71552719741629167"/>
          <c:h val="0.47993188595441871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111111111111213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B19-4CAB-97A1-F60665FA7B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11111111111111E-2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B19-4CAB-97A1-F60665FA7B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Sheet2!$H$12:$H$13</c:f>
              <c:strCache>
                <c:ptCount val="2"/>
                <c:pt idx="0">
                  <c:v>2023.</c:v>
                </c:pt>
                <c:pt idx="1">
                  <c:v>2022. </c:v>
                </c:pt>
              </c:strCache>
            </c:strRef>
          </c:cat>
          <c:val>
            <c:numRef>
              <c:f>Sheet2!$I$12:$I$13</c:f>
              <c:numCache>
                <c:formatCode>#,##0.00\ "kn";[Red]#,##0.00\ "kn"</c:formatCode>
                <c:ptCount val="2"/>
                <c:pt idx="0">
                  <c:v>6297500</c:v>
                </c:pt>
                <c:pt idx="1">
                  <c:v>5660900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19-4CAB-97A1-F60665FA7B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71428896"/>
        <c:axId val="571429440"/>
        <c:axId val="0"/>
      </c:bar3DChart>
      <c:catAx>
        <c:axId val="57142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1429440"/>
        <c:crosses val="autoZero"/>
        <c:auto val="1"/>
        <c:lblAlgn val="ctr"/>
        <c:lblOffset val="100"/>
        <c:noMultiLvlLbl val="0"/>
      </c:catAx>
      <c:valAx>
        <c:axId val="5714294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kn&quot;;[Red]#,##0.00\ &quot;kn&quot;" sourceLinked="1"/>
        <c:majorTickMark val="none"/>
        <c:minorTickMark val="none"/>
        <c:tickLblPos val="nextTo"/>
        <c:crossAx val="57142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B2-4820-9B4C-0389CF227E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B2-4820-9B4C-0389CF227E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B2-4820-9B4C-0389CF227E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B2-4820-9B4C-0389CF227E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EB2-4820-9B4C-0389CF227E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EB2-4820-9B4C-0389CF227E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Sheet2!$B$5:$B$10</c:f>
              <c:strCache>
                <c:ptCount val="6"/>
                <c:pt idx="0">
                  <c:v>FESTIVALI/MANIFESTACIJE/SMOTRE 3.501.500,00 kn / 464.728,91eur</c:v>
                </c:pt>
                <c:pt idx="1">
                  <c:v>NABAVA NOŠNJI/NABAVA INSTRUMENATA - 1.871.400,00 kn / 248.377,46 eur</c:v>
                </c:pt>
                <c:pt idx="2">
                  <c:v>KONCERTNA GOSTOVANJA/OBLJETNICE - 241.100,00 kn / 31.999,47 eur</c:v>
                </c:pt>
                <c:pt idx="3">
                  <c:v>NAKLADNIČKA DJELATNOST - 217.500,00 kn/ 28.867,21 eur</c:v>
                </c:pt>
                <c:pt idx="4">
                  <c:v>SEMINARI/RADIONICE - 415.000,00 kn / 55.079,97 eur</c:v>
                </c:pt>
                <c:pt idx="5">
                  <c:v>OSTALI PROGRAMI - 51.000,00 kn / 6.768,86 eur</c:v>
                </c:pt>
              </c:strCache>
            </c:strRef>
          </c:cat>
          <c:val>
            <c:numRef>
              <c:f>Sheet2!$C$5:$C$10</c:f>
              <c:numCache>
                <c:formatCode>#,##0.00</c:formatCode>
                <c:ptCount val="6"/>
                <c:pt idx="0">
                  <c:v>3501500</c:v>
                </c:pt>
                <c:pt idx="1">
                  <c:v>1871400</c:v>
                </c:pt>
                <c:pt idx="2">
                  <c:v>241100</c:v>
                </c:pt>
                <c:pt idx="3">
                  <c:v>217500</c:v>
                </c:pt>
                <c:pt idx="4">
                  <c:v>415000</c:v>
                </c:pt>
                <c:pt idx="5">
                  <c:v>51000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EB2-4820-9B4C-0389CF227EC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617303871134619E-2"/>
          <c:y val="0.6874493294201417"/>
          <c:w val="0.79552660755263416"/>
          <c:h val="0.2939373620642696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A4-4D9C-AF05-37A42CA725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A4-4D9C-AF05-37A42CA725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A4-4D9C-AF05-37A42CA725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A4-4D9C-AF05-37A42CA7252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Sheet1!$B$1:$B$4</c:f>
              <c:strCache>
                <c:ptCount val="4"/>
                <c:pt idx="0">
                  <c:v>opće (472)</c:v>
                </c:pt>
                <c:pt idx="1">
                  <c:v>dječja (54)</c:v>
                </c:pt>
                <c:pt idx="2">
                  <c:v>e-pub (242)</c:v>
                </c:pt>
                <c:pt idx="3">
                  <c:v>audio knjiga (7)</c:v>
                </c:pt>
              </c:strCache>
            </c:strRef>
          </c:cat>
          <c:val>
            <c:numRef>
              <c:f>Sheet1!$C$1:$C$4</c:f>
              <c:numCache>
                <c:formatCode>General</c:formatCode>
                <c:ptCount val="4"/>
                <c:pt idx="0">
                  <c:v>472</c:v>
                </c:pt>
                <c:pt idx="1">
                  <c:v>54</c:v>
                </c:pt>
                <c:pt idx="2">
                  <c:v>242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6A4-4D9C-AF05-37A42CA72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6051411375963"/>
          <c:y val="0.21936205033194381"/>
          <c:w val="0.81858994548758324"/>
          <c:h val="0.529903350316504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BD-491D-AF69-6B33AD2883F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BD-491D-AF69-6B33AD2883F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BD-491D-AF69-6B33AD2883FF}"/>
              </c:ext>
            </c:extLst>
          </c:dPt>
          <c:dLbls>
            <c:dLbl>
              <c:idx val="2"/>
              <c:layout>
                <c:manualLayout>
                  <c:x val="7.268597387847813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6BD-491D-AF69-6B33AD2883F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PRIJEDLOG!$B$200:$B$202</c:f>
              <c:strCache>
                <c:ptCount val="3"/>
                <c:pt idx="0">
                  <c:v>odrasli</c:v>
                </c:pt>
                <c:pt idx="1">
                  <c:v>prijevodi</c:v>
                </c:pt>
                <c:pt idx="2">
                  <c:v>dječje </c:v>
                </c:pt>
              </c:strCache>
            </c:strRef>
          </c:cat>
          <c:val>
            <c:numRef>
              <c:f>PRIJEDLOG!$C$200:$C$202</c:f>
              <c:numCache>
                <c:formatCode>General</c:formatCode>
                <c:ptCount val="3"/>
                <c:pt idx="0">
                  <c:v>49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6BD-491D-AF69-6B33AD288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PRIJEDLOG!$B$190:$B$197</c:f>
              <c:strCache>
                <c:ptCount val="8"/>
                <c:pt idx="0">
                  <c:v>njemački</c:v>
                </c:pt>
                <c:pt idx="1">
                  <c:v>kineski</c:v>
                </c:pt>
                <c:pt idx="2">
                  <c:v>ruski</c:v>
                </c:pt>
                <c:pt idx="3">
                  <c:v>ukrajinski</c:v>
                </c:pt>
                <c:pt idx="4">
                  <c:v>engleski</c:v>
                </c:pt>
                <c:pt idx="5">
                  <c:v>francuski</c:v>
                </c:pt>
                <c:pt idx="6">
                  <c:v>latinski</c:v>
                </c:pt>
                <c:pt idx="7">
                  <c:v>poljski</c:v>
                </c:pt>
              </c:strCache>
            </c:strRef>
          </c:cat>
          <c:val>
            <c:numRef>
              <c:f>PRIJEDLOG!$C$190:$C$197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31-4DE2-B3AC-78AD000C01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1440320"/>
        <c:axId val="571441408"/>
      </c:barChart>
      <c:catAx>
        <c:axId val="5714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1441408"/>
        <c:crosses val="autoZero"/>
        <c:auto val="1"/>
        <c:lblAlgn val="ctr"/>
        <c:lblOffset val="100"/>
        <c:noMultiLvlLbl val="0"/>
      </c:catAx>
      <c:valAx>
        <c:axId val="57144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144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/>
      </a:pPr>
      <a:endParaRPr lang="sr-Latn-R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34-4539-B56B-54F0710E1D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34-4539-B56B-54F0710E1D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34-4539-B56B-54F0710E1D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834-4539-B56B-54F0710E1D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834-4539-B56B-54F0710E1D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834-4539-B56B-54F0710E1D2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834-4539-B56B-54F0710E1D2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834-4539-B56B-54F0710E1D2B}"/>
              </c:ext>
            </c:extLst>
          </c:dPt>
          <c:dLbls>
            <c:dLbl>
              <c:idx val="3"/>
              <c:layout>
                <c:manualLayout>
                  <c:x val="2.7777777777778798E-3"/>
                  <c:y val="5.85009253049898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834-4539-B56B-54F0710E1D2B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PRIJEDLOG!$B$181:$B$188</c:f>
              <c:strCache>
                <c:ptCount val="8"/>
                <c:pt idx="0">
                  <c:v>kratke proze</c:v>
                </c:pt>
                <c:pt idx="1">
                  <c:v>strip</c:v>
                </c:pt>
                <c:pt idx="2">
                  <c:v>eseji</c:v>
                </c:pt>
                <c:pt idx="3">
                  <c:v>drama</c:v>
                </c:pt>
                <c:pt idx="4">
                  <c:v>poezija</c:v>
                </c:pt>
                <c:pt idx="5">
                  <c:v>dnevnik</c:v>
                </c:pt>
                <c:pt idx="6">
                  <c:v>roman</c:v>
                </c:pt>
                <c:pt idx="7">
                  <c:v>slikovnica</c:v>
                </c:pt>
              </c:strCache>
            </c:strRef>
          </c:cat>
          <c:val>
            <c:numRef>
              <c:f>PRIJEDLOG!$C$181:$C$188</c:f>
              <c:numCache>
                <c:formatCode>General</c:formatCode>
                <c:ptCount val="8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12</c:v>
                </c:pt>
                <c:pt idx="5">
                  <c:v>1</c:v>
                </c:pt>
                <c:pt idx="6">
                  <c:v>38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834-4539-B56B-54F0710E1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13-4A0C-B92E-E485A839BD5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13-4A0C-B92E-E485A839BD5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13-4A0C-B92E-E485A839BD5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PRIJEDLOG!$B$205:$B$207</c:f>
              <c:strCache>
                <c:ptCount val="3"/>
                <c:pt idx="0">
                  <c:v>godišnje </c:v>
                </c:pt>
                <c:pt idx="1">
                  <c:v>polugodišnje</c:v>
                </c:pt>
                <c:pt idx="2">
                  <c:v>tromjesečne</c:v>
                </c:pt>
              </c:strCache>
            </c:strRef>
          </c:cat>
          <c:val>
            <c:numRef>
              <c:f>PRIJEDLOG!$C$205:$C$207</c:f>
              <c:numCache>
                <c:formatCode>General</c:formatCode>
                <c:ptCount val="3"/>
                <c:pt idx="0">
                  <c:v>3</c:v>
                </c:pt>
                <c:pt idx="1">
                  <c:v>22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213-4A0C-B92E-E485A839B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189690034969192E-2"/>
          <c:y val="9.7092802424087229E-2"/>
          <c:w val="0.89111306705997095"/>
          <c:h val="0.4595753579583040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chemeClr val="accent1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48-4E89-8294-D64AC70564F7}"/>
              </c:ext>
            </c:extLst>
          </c:dPt>
          <c:dPt>
            <c:idx val="1"/>
            <c:bubble3D val="0"/>
            <c:spPr>
              <a:solidFill>
                <a:schemeClr val="accent2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48-4E89-8294-D64AC70564F7}"/>
              </c:ext>
            </c:extLst>
          </c:dPt>
          <c:dPt>
            <c:idx val="2"/>
            <c:bubble3D val="0"/>
            <c:spPr>
              <a:solidFill>
                <a:schemeClr val="accent3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48-4E89-8294-D64AC70564F7}"/>
              </c:ext>
            </c:extLst>
          </c:dPt>
          <c:dPt>
            <c:idx val="3"/>
            <c:bubble3D val="0"/>
            <c:spPr>
              <a:solidFill>
                <a:schemeClr val="accent4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48-4E89-8294-D64AC70564F7}"/>
              </c:ext>
            </c:extLst>
          </c:dPt>
          <c:dPt>
            <c:idx val="4"/>
            <c:bubble3D val="0"/>
            <c:spPr>
              <a:solidFill>
                <a:schemeClr val="accent5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548-4E89-8294-D64AC70564F7}"/>
              </c:ext>
            </c:extLst>
          </c:dPt>
          <c:dPt>
            <c:idx val="5"/>
            <c:bubble3D val="0"/>
            <c:spPr>
              <a:solidFill>
                <a:schemeClr val="accent6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548-4E89-8294-D64AC70564F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548-4E89-8294-D64AC70564F7}"/>
              </c:ext>
            </c:extLst>
          </c:dPt>
          <c:dLbls>
            <c:dLbl>
              <c:idx val="5"/>
              <c:layout>
                <c:manualLayout>
                  <c:x val="6.4025383744966448E-3"/>
                  <c:y val="2.97296428536104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548-4E89-8294-D64AC70564F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474356360030551E-3"/>
                  <c:y val="-5.81805249224419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548-4E89-8294-D64AC70564F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Cjelogodišnji izložbeni programi  3.304.000,00 kuna / 438.516,16 eura</c:v>
                </c:pt>
                <c:pt idx="1">
                  <c:v>Manifestacije iz područja vizualnih umjetnosti  1.300.000,00 kuna / 172.539,65 eura</c:v>
                </c:pt>
                <c:pt idx="2">
                  <c:v>Edukativni i rezidencijalni programi  590.000,00 kuna / 78.306,46 eura</c:v>
                </c:pt>
              </c:strCache>
            </c:strRef>
          </c:cat>
          <c:val>
            <c:numRef>
              <c:f>List1!$B$2:$B$4</c:f>
              <c:numCache>
                <c:formatCode>#,##0.00</c:formatCode>
                <c:ptCount val="3"/>
                <c:pt idx="0">
                  <c:v>3304000</c:v>
                </c:pt>
                <c:pt idx="1">
                  <c:v>1300000</c:v>
                </c:pt>
                <c:pt idx="2">
                  <c:v>590000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C548-4E89-8294-D64AC70564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6214252120219"/>
          <c:y val="0.12765603713025608"/>
          <c:w val="0.76762520291899927"/>
          <c:h val="0.37337304977640257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chemeClr val="accent1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9A-4B1F-9712-8E555C4F53CA}"/>
              </c:ext>
            </c:extLst>
          </c:dPt>
          <c:dPt>
            <c:idx val="1"/>
            <c:bubble3D val="0"/>
            <c:spPr>
              <a:solidFill>
                <a:schemeClr val="accent2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9A-4B1F-9712-8E555C4F53CA}"/>
              </c:ext>
            </c:extLst>
          </c:dPt>
          <c:dPt>
            <c:idx val="2"/>
            <c:bubble3D val="0"/>
            <c:spPr>
              <a:solidFill>
                <a:schemeClr val="accent3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9A-4B1F-9712-8E555C4F53CA}"/>
              </c:ext>
            </c:extLst>
          </c:dPt>
          <c:dPt>
            <c:idx val="3"/>
            <c:bubble3D val="0"/>
            <c:spPr>
              <a:solidFill>
                <a:schemeClr val="accent4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9A-4B1F-9712-8E555C4F53CA}"/>
              </c:ext>
            </c:extLst>
          </c:dPt>
          <c:dPt>
            <c:idx val="4"/>
            <c:bubble3D val="0"/>
            <c:spPr>
              <a:solidFill>
                <a:schemeClr val="accent5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9A-4B1F-9712-8E555C4F53CA}"/>
              </c:ext>
            </c:extLst>
          </c:dPt>
          <c:dPt>
            <c:idx val="5"/>
            <c:bubble3D val="0"/>
            <c:spPr>
              <a:solidFill>
                <a:schemeClr val="accent6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B9A-4B1F-9712-8E555C4F53C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B9A-4B1F-9712-8E555C4F53CA}"/>
              </c:ext>
            </c:extLst>
          </c:dPt>
          <c:dLbls>
            <c:dLbl>
              <c:idx val="2"/>
              <c:layout>
                <c:manualLayout>
                  <c:x val="5.014410458308096E-2"/>
                  <c:y val="-0.1319892535556949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B9A-4B1F-9712-8E555C4F53C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025383744966448E-3"/>
                  <c:y val="2.97296428536104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B9A-4B1F-9712-8E555C4F53CA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474356360030551E-3"/>
                  <c:y val="-5.81805249224419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B9A-4B1F-9712-8E555C4F53C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Cjelogodišnji programi (67)</c:v>
                </c:pt>
                <c:pt idx="1">
                  <c:v>Umjetnička istraživanja i produkcije (107)</c:v>
                </c:pt>
                <c:pt idx="2">
                  <c:v>Razvoj i produkcija projekata mladih umjetnika do 30 godina (8)</c:v>
                </c:pt>
                <c:pt idx="3">
                  <c:v>Festivali/manifestacije (63)</c:v>
                </c:pt>
                <c:pt idx="4">
                  <c:v>Edukativni programi (62)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67</c:v>
                </c:pt>
                <c:pt idx="1">
                  <c:v>107</c:v>
                </c:pt>
                <c:pt idx="2">
                  <c:v>8</c:v>
                </c:pt>
                <c:pt idx="3">
                  <c:v>63</c:v>
                </c:pt>
                <c:pt idx="4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B9A-4B1F-9712-8E555C4F53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chemeClr val="accent1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35-4096-8A32-1CA0EA2BBF60}"/>
              </c:ext>
            </c:extLst>
          </c:dPt>
          <c:dPt>
            <c:idx val="1"/>
            <c:bubble3D val="0"/>
            <c:spPr>
              <a:solidFill>
                <a:schemeClr val="accent2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35-4096-8A32-1CA0EA2BBF60}"/>
              </c:ext>
            </c:extLst>
          </c:dPt>
          <c:dPt>
            <c:idx val="2"/>
            <c:bubble3D val="0"/>
            <c:spPr>
              <a:solidFill>
                <a:schemeClr val="accent3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35-4096-8A32-1CA0EA2BBF60}"/>
              </c:ext>
            </c:extLst>
          </c:dPt>
          <c:dPt>
            <c:idx val="3"/>
            <c:bubble3D val="0"/>
            <c:spPr>
              <a:solidFill>
                <a:schemeClr val="accent4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F35-4096-8A32-1CA0EA2BBF60}"/>
              </c:ext>
            </c:extLst>
          </c:dPt>
          <c:dPt>
            <c:idx val="4"/>
            <c:bubble3D val="0"/>
            <c:spPr>
              <a:solidFill>
                <a:schemeClr val="accent5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F35-4096-8A32-1CA0EA2BBF60}"/>
              </c:ext>
            </c:extLst>
          </c:dPt>
          <c:dPt>
            <c:idx val="5"/>
            <c:bubble3D val="0"/>
            <c:spPr>
              <a:solidFill>
                <a:schemeClr val="accent6"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F35-4096-8A32-1CA0EA2BBF6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tint val="67000"/>
                  <a:satMod val="10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F35-4096-8A32-1CA0EA2BBF60}"/>
              </c:ext>
            </c:extLst>
          </c:dPt>
          <c:dLbls>
            <c:dLbl>
              <c:idx val="2"/>
              <c:layout>
                <c:manualLayout>
                  <c:x val="5.014410458308096E-2"/>
                  <c:y val="-0.1319892535556949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F35-4096-8A32-1CA0EA2BBF6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025383744966448E-3"/>
                  <c:y val="2.97296428536104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F35-4096-8A32-1CA0EA2BBF6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474356360030551E-3"/>
                  <c:y val="-5.81805249224419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F35-4096-8A32-1CA0EA2BBF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Cjelogodišnji programi 1.640.000,00 kuna / 217.665,41 eura</c:v>
                </c:pt>
                <c:pt idx="1">
                  <c:v>Umjetnička istraživanja i produkcije 1.511.000,00 kuna / 200.544,16 eura</c:v>
                </c:pt>
                <c:pt idx="2">
                  <c:v>Razvoj i produkcija projekata mladih umjetnika do 30 godina 95.000,00 kuna / 12.608,67 eura </c:v>
                </c:pt>
                <c:pt idx="3">
                  <c:v>Festivali/manifestacije 1.385.000,00 kuna / 183.821,09 eura</c:v>
                </c:pt>
                <c:pt idx="4">
                  <c:v>Edukativni programi 825.500,00 kuna / 109.562,68 eura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>
                  <c:v>1640000</c:v>
                </c:pt>
                <c:pt idx="1">
                  <c:v>1511000</c:v>
                </c:pt>
                <c:pt idx="2">
                  <c:v>95000</c:v>
                </c:pt>
                <c:pt idx="3">
                  <c:v>1385000</c:v>
                </c:pt>
                <c:pt idx="4">
                  <c:v>825500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F35-4096-8A32-1CA0EA2BBF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8888888888889"/>
          <c:y val="0.21296296296296297"/>
          <c:w val="0.76322222222222225"/>
          <c:h val="0.5685265383493729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Sheet1!$G$7:$G$8</c:f>
              <c:strCache>
                <c:ptCount val="2"/>
                <c:pt idx="0">
                  <c:v>2023.</c:v>
                </c:pt>
                <c:pt idx="1">
                  <c:v>2022.</c:v>
                </c:pt>
              </c:strCache>
            </c:strRef>
          </c:cat>
          <c:val>
            <c:numRef>
              <c:f>Sheet1!$H$7:$H$8</c:f>
              <c:numCache>
                <c:formatCode>#,##0.00\ "kn";[Red]#,##0.00\ "kn"</c:formatCode>
                <c:ptCount val="2"/>
                <c:pt idx="0">
                  <c:v>28867040</c:v>
                </c:pt>
                <c:pt idx="1">
                  <c:v>25615489.739999998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8C-4218-ACF9-C6E4146A6F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71438144"/>
        <c:axId val="571433792"/>
      </c:barChart>
      <c:catAx>
        <c:axId val="571438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1433792"/>
        <c:crosses val="autoZero"/>
        <c:auto val="1"/>
        <c:lblAlgn val="ctr"/>
        <c:lblOffset val="100"/>
        <c:noMultiLvlLbl val="0"/>
      </c:catAx>
      <c:valAx>
        <c:axId val="5714337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kn&quot;;[Red]#,##0.00\ &quot;kn&quot;" sourceLinked="1"/>
        <c:majorTickMark val="none"/>
        <c:minorTickMark val="none"/>
        <c:tickLblPos val="nextTo"/>
        <c:crossAx val="57143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8C-4E1A-A139-2D377E492E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8C-4E1A-A139-2D377E492E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8C-4E1A-A139-2D377E492E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98C-4E1A-A139-2D377E492E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98C-4E1A-A139-2D377E492E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98C-4E1A-A139-2D377E492E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98C-4E1A-A139-2D377E492E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98C-4E1A-A139-2D377E492E0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Sheet1!$A$5:$A$12</c:f>
              <c:strCache>
                <c:ptCount val="8"/>
                <c:pt idx="0">
                  <c:v>Festivali/manifestacije - 10.430.000,00 KN/ 1.384.298,89 EUR
58 programa</c:v>
                </c:pt>
                <c:pt idx="1">
                  <c:v>Godišnji programi nacionalnih kazališta te koprodukcije i gostovanja unutar mreže nacionalnih kazališta - 6.500.000,00 KN/ 862.698,27 EUR
4 programa</c:v>
                </c:pt>
                <c:pt idx="2">
                  <c:v>Programi gostovanja javnih kazališta - 271.740,00 KN/ 36.066,10 EUR
12 programa</c:v>
                </c:pt>
                <c:pt idx="3">
                  <c:v>Programi gostovanja privatnih kazališta - 1.461.900,00 KN/ 194.027,45 EUR
44 programa</c:v>
                </c:pt>
                <c:pt idx="4">
                  <c:v>Lokalna organizacija gostovanja - 697.000,00 KN/ 92.507,79 EUR
43 programa</c:v>
                </c:pt>
                <c:pt idx="5">
                  <c:v>Godišnji program javnih kazališta (premijere i reprizne izvedbe premijernih naslova) - 1.921.000,00 KN/ 254.960,52 EUR
22 programa</c:v>
                </c:pt>
                <c:pt idx="6">
                  <c:v>Program privatnih kazališta (premijere i reprizne izvedbe premijernih naslova)  - 1.800.000,00 KN/ 238.901,05 EUR
59 programa</c:v>
                </c:pt>
                <c:pt idx="7">
                  <c:v>Ostali programi - 404.800,00 KN/ 53.726,20 EUR
21 program</c:v>
                </c:pt>
              </c:strCache>
            </c:strRef>
          </c:cat>
          <c:val>
            <c:numRef>
              <c:f>Sheet1!$B$5:$B$12</c:f>
              <c:numCache>
                <c:formatCode>#,##0.00\ "kn";[Red]#,##0.00\ "kn"</c:formatCode>
                <c:ptCount val="8"/>
                <c:pt idx="0">
                  <c:v>10430000</c:v>
                </c:pt>
                <c:pt idx="1">
                  <c:v>6500000</c:v>
                </c:pt>
                <c:pt idx="2">
                  <c:v>271740</c:v>
                </c:pt>
                <c:pt idx="3">
                  <c:v>1461900</c:v>
                </c:pt>
                <c:pt idx="4">
                  <c:v>697000</c:v>
                </c:pt>
                <c:pt idx="5">
                  <c:v>1921000</c:v>
                </c:pt>
                <c:pt idx="6">
                  <c:v>1800000</c:v>
                </c:pt>
                <c:pt idx="7">
                  <c:v>404800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98C-4E1A-A139-2D377E492E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58948085012613"/>
          <c:y val="4.5886757204468946E-4"/>
          <c:w val="0.33641651615137314"/>
          <c:h val="0.976839155531879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80-43EF-85AE-C17D88252545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80-43EF-85AE-C17D88252545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80-43EF-85AE-C17D88252545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80-43EF-85AE-C17D88252545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80-43EF-85AE-C17D882525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Sheet1!$A$40:$A$44</c:f>
              <c:strCache>
                <c:ptCount val="5"/>
                <c:pt idx="0">
                  <c:v>Suvremeni ples i pokret festivali/manifestacije - 907.000,00 KN/ 120.379,60 EUR
18 programa</c:v>
                </c:pt>
                <c:pt idx="1">
                  <c:v>Suvremeni ples i pokret programi gostovanja, lokalna organizacija gostovanja - 704.500,00 KN/ 93.503,23 EUR
55 programa</c:v>
                </c:pt>
                <c:pt idx="2">
                  <c:v>Suvremeni ples i pokret premijerni i reprizni program -1.593.500,00/ 211.493,79 EUR
67 programa</c:v>
                </c:pt>
                <c:pt idx="3">
                  <c:v>Suvremeni ples i pokret ostali programi - 294.000,00 KN/ 39.020,51 EUR
14 programa</c:v>
                </c:pt>
                <c:pt idx="4">
                  <c:v>Programi suvremenog cirkusa - 530.000,00 KN/ 70.343,11 EUR
26 programa</c:v>
                </c:pt>
              </c:strCache>
            </c:strRef>
          </c:cat>
          <c:val>
            <c:numRef>
              <c:f>Sheet1!$B$40:$B$44</c:f>
              <c:numCache>
                <c:formatCode>#,##0.00\ "kn";[Red]#,##0.00\ "kn"</c:formatCode>
                <c:ptCount val="5"/>
                <c:pt idx="0">
                  <c:v>907000</c:v>
                </c:pt>
                <c:pt idx="1">
                  <c:v>704500</c:v>
                </c:pt>
                <c:pt idx="2">
                  <c:v>1593500</c:v>
                </c:pt>
                <c:pt idx="3">
                  <c:v>294000</c:v>
                </c:pt>
                <c:pt idx="4">
                  <c:v>530000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80-43EF-85AE-C17D8825254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28032440472671"/>
          <c:y val="3.8294661836471962E-2"/>
          <c:w val="0.33449516727075784"/>
          <c:h val="0.9477450375737254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67762090269908"/>
          <c:y val="0.22973748204105049"/>
          <c:w val="0.82970467172147022"/>
          <c:h val="0.499381448750904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95-4E59-8FFD-3522BBAE09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95-4E59-8FFD-3522BBAE09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95-4E59-8FFD-3522BBAE09BA}"/>
              </c:ext>
            </c:extLst>
          </c:dPt>
          <c:dLbls>
            <c:dLbl>
              <c:idx val="0"/>
              <c:layout>
                <c:manualLayout>
                  <c:x val="2.0423939669315772E-2"/>
                  <c:y val="-9.38719906204617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95-4E59-8FFD-3522BBAE09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002058884084672E-2"/>
                  <c:y val="7.08823872837944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395-4E59-8FFD-3522BBAE09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766522544780746E-2"/>
                  <c:y val="0.101662292213473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395-4E59-8FFD-3522BBAE09B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Sheet3!$J$2:$J$4</c:f>
              <c:strCache>
                <c:ptCount val="3"/>
                <c:pt idx="0">
                  <c:v>Festivali/manifestacije (438.000,00 KN/ 58.132,56 EUR)</c:v>
                </c:pt>
                <c:pt idx="1">
                  <c:v>Gostovanja (60.000,00 KN/ 7.963,37 EUR)</c:v>
                </c:pt>
                <c:pt idx="2">
                  <c:v>Redovni program (584.000,00 KN/ 77.510,04 EUR)</c:v>
                </c:pt>
              </c:strCache>
            </c:strRef>
          </c:cat>
          <c:val>
            <c:numRef>
              <c:f>Sheet3!$K$2:$K$4</c:f>
              <c:numCache>
                <c:formatCode>General</c:formatCode>
                <c:ptCount val="3"/>
                <c:pt idx="0">
                  <c:v>32</c:v>
                </c:pt>
                <c:pt idx="1">
                  <c:v>5</c:v>
                </c:pt>
                <c:pt idx="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395-4E59-8FFD-3522BBAE0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FA-4B3B-A245-B48E4B8DA0E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1FA-4B3B-A245-B48E4B8DA0E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1FA-4B3B-A245-B48E4B8DA0E8}"/>
              </c:ext>
            </c:extLst>
          </c:dPt>
          <c:dLbls>
            <c:dLbl>
              <c:idx val="0"/>
              <c:layout>
                <c:manualLayout>
                  <c:x val="5.0705467372134036E-2"/>
                  <c:y val="-2.46184145741014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1FA-4B3B-A245-B48E4B8DA0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455026455026454E-2"/>
                  <c:y val="-7.34857736579087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1FA-4B3B-A245-B48E4B8DA0E8}"/>
                </c:ext>
                <c:ext xmlns:c15="http://schemas.microsoft.com/office/drawing/2012/chart" uri="{CE6537A1-D6FC-4f65-9D91-7224C49458BB}">
                  <c15:layout>
                    <c:manualLayout>
                      <c:w val="0.19197222222222221"/>
                      <c:h val="0.2173148148148148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9841269841269882E-2"/>
                  <c:y val="-8.370260955194484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1FA-4B3B-A245-B48E4B8DA0E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Sheet3!$F$33:$F$35</c:f>
              <c:strCache>
                <c:ptCount val="3"/>
                <c:pt idx="0">
                  <c:v>Festivali/manifestacije (112.600,00 KN/ 14.944,59 EUR)</c:v>
                </c:pt>
                <c:pt idx="1">
                  <c:v>Gostovanja (15.000,00 KN/ 1.990,83 EUR)</c:v>
                </c:pt>
                <c:pt idx="2">
                  <c:v>Redovni program (142.000,00 KN/ 18.846,62 EUR)</c:v>
                </c:pt>
              </c:strCache>
            </c:strRef>
          </c:cat>
          <c:val>
            <c:numRef>
              <c:f>Sheet3!$G$33:$G$35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1FA-4B3B-A245-B48E4B8DA0E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Headlines">
    <a:dk1>
      <a:sysClr val="windowText" lastClr="000000"/>
    </a:dk1>
    <a:lt1>
      <a:sysClr val="window" lastClr="FFFFFF"/>
    </a:lt1>
    <a:dk2>
      <a:srgbClr val="1D1A1D"/>
    </a:dk2>
    <a:lt2>
      <a:srgbClr val="F5F5F5"/>
    </a:lt2>
    <a:accent1>
      <a:srgbClr val="439EB7"/>
    </a:accent1>
    <a:accent2>
      <a:srgbClr val="E28B55"/>
    </a:accent2>
    <a:accent3>
      <a:srgbClr val="DCB64D"/>
    </a:accent3>
    <a:accent4>
      <a:srgbClr val="4CA198"/>
    </a:accent4>
    <a:accent5>
      <a:srgbClr val="835B82"/>
    </a:accent5>
    <a:accent6>
      <a:srgbClr val="645135"/>
    </a:accent6>
    <a:hlink>
      <a:srgbClr val="439EB7"/>
    </a:hlink>
    <a:folHlink>
      <a:srgbClr val="835B82"/>
    </a:folHlink>
  </a:clrScheme>
  <a:fontScheme name="Headlines">
    <a:majorFont>
      <a:latin typeface="Century Schoolbook" panose="020406040505050203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メイリオ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Headlines">
    <a:fillStyleLst>
      <a:solidFill>
        <a:schemeClr val="phClr"/>
      </a:solidFill>
      <a:solidFill>
        <a:schemeClr val="phClr">
          <a:tint val="67000"/>
          <a:satMod val="105000"/>
        </a:schemeClr>
      </a:solidFill>
      <a:gradFill rotWithShape="1">
        <a:gsLst>
          <a:gs pos="0">
            <a:schemeClr val="phClr">
              <a:tint val="100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0000"/>
              <a:satMod val="120000"/>
              <a:lumMod val="99000"/>
            </a:schemeClr>
          </a:gs>
        </a:gsLst>
        <a:path path="circle">
          <a:fillToRect l="100000" t="100000" r="100000" b="100000"/>
        </a:path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19050" cap="flat" cmpd="sng" algn="in">
        <a:solidFill>
          <a:schemeClr val="phClr"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innerShdw blurRad="88900" dist="25400" dir="10800000">
            <a:srgbClr val="000000">
              <a:alpha val="25000"/>
            </a:srgbClr>
          </a:innerShdw>
          <a:outerShdw blurRad="25400" dist="25400" dir="5400000" algn="ctr" rotWithShape="0">
            <a:srgbClr val="FFFFFF">
              <a:alpha val="10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Headlines">
    <a:dk1>
      <a:sysClr val="windowText" lastClr="000000"/>
    </a:dk1>
    <a:lt1>
      <a:sysClr val="window" lastClr="FFFFFF"/>
    </a:lt1>
    <a:dk2>
      <a:srgbClr val="1D1A1D"/>
    </a:dk2>
    <a:lt2>
      <a:srgbClr val="F5F5F5"/>
    </a:lt2>
    <a:accent1>
      <a:srgbClr val="439EB7"/>
    </a:accent1>
    <a:accent2>
      <a:srgbClr val="E28B55"/>
    </a:accent2>
    <a:accent3>
      <a:srgbClr val="DCB64D"/>
    </a:accent3>
    <a:accent4>
      <a:srgbClr val="4CA198"/>
    </a:accent4>
    <a:accent5>
      <a:srgbClr val="835B82"/>
    </a:accent5>
    <a:accent6>
      <a:srgbClr val="645135"/>
    </a:accent6>
    <a:hlink>
      <a:srgbClr val="439EB7"/>
    </a:hlink>
    <a:folHlink>
      <a:srgbClr val="835B82"/>
    </a:folHlink>
  </a:clrScheme>
  <a:fontScheme name="Headlines">
    <a:majorFont>
      <a:latin typeface="Century Schoolbook" panose="020406040505050203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メイリオ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Headlines">
    <a:fillStyleLst>
      <a:solidFill>
        <a:schemeClr val="phClr"/>
      </a:solidFill>
      <a:solidFill>
        <a:schemeClr val="phClr">
          <a:tint val="67000"/>
          <a:satMod val="105000"/>
        </a:schemeClr>
      </a:solidFill>
      <a:gradFill rotWithShape="1">
        <a:gsLst>
          <a:gs pos="0">
            <a:schemeClr val="phClr">
              <a:tint val="100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0000"/>
              <a:satMod val="120000"/>
              <a:lumMod val="99000"/>
            </a:schemeClr>
          </a:gs>
        </a:gsLst>
        <a:path path="circle">
          <a:fillToRect l="100000" t="100000" r="100000" b="100000"/>
        </a:path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19050" cap="flat" cmpd="sng" algn="in">
        <a:solidFill>
          <a:schemeClr val="phClr"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innerShdw blurRad="88900" dist="25400" dir="10800000">
            <a:srgbClr val="000000">
              <a:alpha val="25000"/>
            </a:srgbClr>
          </a:innerShdw>
          <a:outerShdw blurRad="25400" dist="25400" dir="5400000" algn="ctr" rotWithShape="0">
            <a:srgbClr val="FFFFFF">
              <a:alpha val="10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Headlines">
    <a:dk1>
      <a:sysClr val="windowText" lastClr="000000"/>
    </a:dk1>
    <a:lt1>
      <a:sysClr val="window" lastClr="FFFFFF"/>
    </a:lt1>
    <a:dk2>
      <a:srgbClr val="1D1A1D"/>
    </a:dk2>
    <a:lt2>
      <a:srgbClr val="F5F5F5"/>
    </a:lt2>
    <a:accent1>
      <a:srgbClr val="439EB7"/>
    </a:accent1>
    <a:accent2>
      <a:srgbClr val="E28B55"/>
    </a:accent2>
    <a:accent3>
      <a:srgbClr val="DCB64D"/>
    </a:accent3>
    <a:accent4>
      <a:srgbClr val="4CA198"/>
    </a:accent4>
    <a:accent5>
      <a:srgbClr val="835B82"/>
    </a:accent5>
    <a:accent6>
      <a:srgbClr val="645135"/>
    </a:accent6>
    <a:hlink>
      <a:srgbClr val="439EB7"/>
    </a:hlink>
    <a:folHlink>
      <a:srgbClr val="835B82"/>
    </a:folHlink>
  </a:clrScheme>
  <a:fontScheme name="Headlines">
    <a:majorFont>
      <a:latin typeface="Century Schoolbook" panose="020406040505050203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メイリオ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Headlines">
    <a:fillStyleLst>
      <a:solidFill>
        <a:schemeClr val="phClr"/>
      </a:solidFill>
      <a:solidFill>
        <a:schemeClr val="phClr">
          <a:tint val="67000"/>
          <a:satMod val="105000"/>
        </a:schemeClr>
      </a:solidFill>
      <a:gradFill rotWithShape="1">
        <a:gsLst>
          <a:gs pos="0">
            <a:schemeClr val="phClr">
              <a:tint val="100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0000"/>
              <a:satMod val="120000"/>
              <a:lumMod val="99000"/>
            </a:schemeClr>
          </a:gs>
        </a:gsLst>
        <a:path path="circle">
          <a:fillToRect l="100000" t="100000" r="100000" b="100000"/>
        </a:path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19050" cap="flat" cmpd="sng" algn="in">
        <a:solidFill>
          <a:schemeClr val="phClr"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innerShdw blurRad="88900" dist="25400" dir="10800000">
            <a:srgbClr val="000000">
              <a:alpha val="25000"/>
            </a:srgbClr>
          </a:innerShdw>
          <a:outerShdw blurRad="25400" dist="25400" dir="5400000" algn="ctr" rotWithShape="0">
            <a:srgbClr val="FFFFFF">
              <a:alpha val="10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Headlines">
    <a:dk1>
      <a:sysClr val="windowText" lastClr="000000"/>
    </a:dk1>
    <a:lt1>
      <a:sysClr val="window" lastClr="FFFFFF"/>
    </a:lt1>
    <a:dk2>
      <a:srgbClr val="1D1A1D"/>
    </a:dk2>
    <a:lt2>
      <a:srgbClr val="F5F5F5"/>
    </a:lt2>
    <a:accent1>
      <a:srgbClr val="439EB7"/>
    </a:accent1>
    <a:accent2>
      <a:srgbClr val="E28B55"/>
    </a:accent2>
    <a:accent3>
      <a:srgbClr val="DCB64D"/>
    </a:accent3>
    <a:accent4>
      <a:srgbClr val="4CA198"/>
    </a:accent4>
    <a:accent5>
      <a:srgbClr val="835B82"/>
    </a:accent5>
    <a:accent6>
      <a:srgbClr val="645135"/>
    </a:accent6>
    <a:hlink>
      <a:srgbClr val="439EB7"/>
    </a:hlink>
    <a:folHlink>
      <a:srgbClr val="835B82"/>
    </a:folHlink>
  </a:clrScheme>
  <a:fontScheme name="Headlines">
    <a:majorFont>
      <a:latin typeface="Century Schoolbook" panose="020406040505050203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メイリオ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Headlines">
    <a:fillStyleLst>
      <a:solidFill>
        <a:schemeClr val="phClr"/>
      </a:solidFill>
      <a:solidFill>
        <a:schemeClr val="phClr">
          <a:tint val="67000"/>
          <a:satMod val="105000"/>
        </a:schemeClr>
      </a:solidFill>
      <a:gradFill rotWithShape="1">
        <a:gsLst>
          <a:gs pos="0">
            <a:schemeClr val="phClr">
              <a:tint val="100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0000"/>
              <a:satMod val="120000"/>
              <a:lumMod val="99000"/>
            </a:schemeClr>
          </a:gs>
        </a:gsLst>
        <a:path path="circle">
          <a:fillToRect l="100000" t="100000" r="100000" b="100000"/>
        </a:path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19050" cap="flat" cmpd="sng" algn="in">
        <a:solidFill>
          <a:schemeClr val="phClr"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innerShdw blurRad="88900" dist="25400" dir="10800000">
            <a:srgbClr val="000000">
              <a:alpha val="25000"/>
            </a:srgbClr>
          </a:innerShdw>
          <a:outerShdw blurRad="25400" dist="25400" dir="5400000" algn="ctr" rotWithShape="0">
            <a:srgbClr val="FFFFFF">
              <a:alpha val="10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Margaretić Urlić</dc:creator>
  <cp:keywords/>
  <dc:description/>
  <cp:lastModifiedBy>Ivana Jurčević</cp:lastModifiedBy>
  <cp:revision>9</cp:revision>
  <cp:lastPrinted>2022-12-27T15:59:00Z</cp:lastPrinted>
  <dcterms:created xsi:type="dcterms:W3CDTF">2022-12-28T09:05:00Z</dcterms:created>
  <dcterms:modified xsi:type="dcterms:W3CDTF">2022-12-28T09:25:00Z</dcterms:modified>
</cp:coreProperties>
</file>