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E426" w14:textId="1B3AEA9C" w:rsidR="000800FD" w:rsidRDefault="000800FD" w:rsidP="00617064">
      <w:pP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Ministarstvo kulture i medija RH</w:t>
      </w:r>
    </w:p>
    <w:p w14:paraId="6F2864B7" w14:textId="5CCEF4D1" w:rsidR="00617064" w:rsidRPr="00F708AA" w:rsidRDefault="009571A2" w:rsidP="00617064">
      <w:pPr>
        <w:jc w:val="center"/>
        <w:rPr>
          <w:b/>
          <w:bCs/>
          <w:sz w:val="32"/>
          <w:szCs w:val="32"/>
          <w:lang w:val="hr-HR"/>
        </w:rPr>
      </w:pPr>
      <w:r w:rsidRPr="00F708AA">
        <w:rPr>
          <w:b/>
          <w:bCs/>
          <w:sz w:val="32"/>
          <w:szCs w:val="32"/>
          <w:lang w:val="hr-HR"/>
        </w:rPr>
        <w:t>Izvješće o radu Stručnog povjerenstva za suvremeni ples i pokret</w:t>
      </w:r>
    </w:p>
    <w:p w14:paraId="14BADC3B" w14:textId="5CA3343A" w:rsidR="000800FD" w:rsidRDefault="000800FD" w:rsidP="000800FD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 xml:space="preserve">   </w:t>
      </w:r>
      <w:r w:rsidR="000215BB">
        <w:rPr>
          <w:b/>
          <w:bCs/>
          <w:sz w:val="32"/>
          <w:szCs w:val="32"/>
          <w:lang w:val="hr-HR"/>
        </w:rPr>
        <w:t xml:space="preserve">Poziv za predlaganje programa javnih potreba u kulturi za 2022. </w:t>
      </w:r>
    </w:p>
    <w:p w14:paraId="29F852F7" w14:textId="77777777" w:rsidR="000800FD" w:rsidRDefault="000800FD" w:rsidP="000800FD">
      <w:pPr>
        <w:rPr>
          <w:b/>
          <w:bCs/>
          <w:sz w:val="32"/>
          <w:szCs w:val="32"/>
          <w:lang w:val="hr-HR"/>
        </w:rPr>
      </w:pPr>
    </w:p>
    <w:p w14:paraId="53CC7F41" w14:textId="56D8BD02" w:rsidR="000800FD" w:rsidRDefault="000800FD" w:rsidP="000800FD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 xml:space="preserve">  Analiza 2021./2022. </w:t>
      </w:r>
    </w:p>
    <w:p w14:paraId="65E81171" w14:textId="77777777" w:rsidR="0013208D" w:rsidRDefault="0013208D" w:rsidP="00617064">
      <w:pPr>
        <w:jc w:val="center"/>
        <w:rPr>
          <w:b/>
          <w:bCs/>
          <w:sz w:val="32"/>
          <w:szCs w:val="32"/>
          <w:lang w:val="hr-HR"/>
        </w:rPr>
      </w:pPr>
    </w:p>
    <w:tbl>
      <w:tblPr>
        <w:tblW w:w="9195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1839"/>
        <w:gridCol w:w="1839"/>
      </w:tblGrid>
      <w:tr w:rsidR="0013208D" w:rsidRPr="009111BF" w14:paraId="37F36B3A" w14:textId="77777777" w:rsidTr="00BA1BF7">
        <w:trPr>
          <w:trHeight w:val="895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42C2B" w14:textId="77777777" w:rsidR="0013208D" w:rsidRPr="00BA1BF7" w:rsidRDefault="0013208D" w:rsidP="00DB68A3">
            <w:pPr>
              <w:spacing w:after="16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Potprogramska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djelatnost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F5E3C" w14:textId="702E26C5" w:rsidR="0013208D" w:rsidRPr="00BA1BF7" w:rsidRDefault="009753C0" w:rsidP="00DB68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2021.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potraživanje</w:t>
            </w:r>
            <w:proofErr w:type="spellEnd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sredstava</w:t>
            </w:r>
            <w:proofErr w:type="spellEnd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broj</w:t>
            </w:r>
            <w:proofErr w:type="spellEnd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F2439" w14:textId="77777777" w:rsidR="0013208D" w:rsidRPr="00BA1BF7" w:rsidRDefault="0013208D" w:rsidP="00DB68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2021.</w:t>
            </w:r>
          </w:p>
          <w:p w14:paraId="787D856E" w14:textId="77777777" w:rsidR="0013208D" w:rsidRPr="00BA1BF7" w:rsidRDefault="0013208D" w:rsidP="00DB68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odobreno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broj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4CE4B" w14:textId="77777777" w:rsidR="0013208D" w:rsidRPr="00BA1BF7" w:rsidRDefault="0013208D" w:rsidP="00DB68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2022.</w:t>
            </w:r>
          </w:p>
          <w:p w14:paraId="561AB423" w14:textId="0430C1C2" w:rsidR="0013208D" w:rsidRPr="00BA1BF7" w:rsidRDefault="009753C0" w:rsidP="00DB68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</w:t>
            </w:r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otraživanje</w:t>
            </w:r>
            <w:proofErr w:type="spellEnd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sredstava</w:t>
            </w:r>
            <w:proofErr w:type="spellEnd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broj</w:t>
            </w:r>
            <w:proofErr w:type="spellEnd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D98F4" w14:textId="77777777" w:rsidR="0013208D" w:rsidRPr="00BA1BF7" w:rsidRDefault="0013208D" w:rsidP="00DB68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2022.</w:t>
            </w:r>
          </w:p>
          <w:p w14:paraId="4261AB3F" w14:textId="77777777" w:rsidR="0013208D" w:rsidRPr="00BA1BF7" w:rsidRDefault="0013208D" w:rsidP="00DB68A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odobreno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broj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programa</w:t>
            </w:r>
            <w:proofErr w:type="spellEnd"/>
          </w:p>
        </w:tc>
      </w:tr>
      <w:tr w:rsidR="0013208D" w:rsidRPr="009111BF" w14:paraId="0207D915" w14:textId="77777777" w:rsidTr="00BA1BF7">
        <w:trPr>
          <w:trHeight w:val="592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62514" w14:textId="77777777" w:rsidR="00385FF5" w:rsidRPr="00BA1BF7" w:rsidRDefault="0013208D" w:rsidP="00385FF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Festivali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/</w:t>
            </w:r>
          </w:p>
          <w:p w14:paraId="106553A9" w14:textId="49D18D4A" w:rsidR="0013208D" w:rsidRPr="00BA1BF7" w:rsidRDefault="0013208D" w:rsidP="00385FF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manifestacije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BE04A" w14:textId="69E3E61D" w:rsidR="0013208D" w:rsidRPr="00BA1BF7" w:rsidRDefault="0013208D" w:rsidP="001D3E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2.373.050,00</w:t>
            </w:r>
            <w:r w:rsidR="001D3E07"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kn</w:t>
            </w:r>
            <w:proofErr w:type="spellEnd"/>
          </w:p>
          <w:p w14:paraId="466848EE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23 </w:t>
            </w:r>
            <w:proofErr w:type="spellStart"/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07E80" w14:textId="70AE3838" w:rsidR="0013208D" w:rsidRPr="00BA1BF7" w:rsidRDefault="001D3E07" w:rsidP="001D3E0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845.000,00</w:t>
            </w: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12C1C221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19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1265C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2.348.736,80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14695E02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23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A394" w14:textId="4C5B56A4" w:rsidR="0013208D" w:rsidRPr="00BA1BF7" w:rsidRDefault="001D3E07" w:rsidP="001D3E0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    </w:t>
            </w:r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822.000,00</w:t>
            </w: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kn</w:t>
            </w:r>
            <w:proofErr w:type="spellEnd"/>
          </w:p>
          <w:p w14:paraId="4B5545CC" w14:textId="77777777" w:rsidR="0013208D" w:rsidRPr="00BA1BF7" w:rsidRDefault="0013208D" w:rsidP="00DB68A3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18 </w:t>
            </w:r>
            <w:proofErr w:type="spellStart"/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programa</w:t>
            </w:r>
            <w:proofErr w:type="spellEnd"/>
          </w:p>
          <w:p w14:paraId="21638591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3208D" w:rsidRPr="009111BF" w14:paraId="48CC405D" w14:textId="77777777" w:rsidTr="00BA1BF7">
        <w:trPr>
          <w:trHeight w:val="895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FA019" w14:textId="77777777" w:rsidR="0013208D" w:rsidRPr="00BA1BF7" w:rsidRDefault="0013208D" w:rsidP="00DB68A3">
            <w:pPr>
              <w:spacing w:after="16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Gostovanja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3EC84" w14:textId="05429C1F" w:rsidR="0013208D" w:rsidRPr="00BA1BF7" w:rsidRDefault="001D3E07" w:rsidP="001D3E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</w:t>
            </w:r>
            <w:r w:rsidR="0013208D"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600.899,72</w:t>
            </w: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kn</w:t>
            </w:r>
            <w:proofErr w:type="spellEnd"/>
          </w:p>
          <w:p w14:paraId="7FC56E84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28 </w:t>
            </w:r>
            <w:proofErr w:type="spellStart"/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programa</w:t>
            </w:r>
            <w:proofErr w:type="spellEnd"/>
          </w:p>
          <w:p w14:paraId="542DC187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A663061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34BA7" w14:textId="66AFA684" w:rsidR="0013208D" w:rsidRPr="00BA1BF7" w:rsidRDefault="001D3E07" w:rsidP="001D3E0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400.370,00</w:t>
            </w: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047A40B4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20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0F69B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1.079.547,40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62D18182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61 </w:t>
            </w:r>
            <w:proofErr w:type="gram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program</w:t>
            </w:r>
            <w:proofErr w:type="gram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A064C" w14:textId="6717A7F8" w:rsidR="0013208D" w:rsidRPr="00BA1BF7" w:rsidRDefault="001D3E07" w:rsidP="001D3E0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    </w:t>
            </w:r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513.200,00</w:t>
            </w: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kn</w:t>
            </w:r>
            <w:proofErr w:type="spellEnd"/>
          </w:p>
          <w:p w14:paraId="66E05FE8" w14:textId="77777777" w:rsidR="0013208D" w:rsidRPr="00BA1BF7" w:rsidRDefault="0013208D" w:rsidP="00DB68A3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46 </w:t>
            </w:r>
            <w:proofErr w:type="spellStart"/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programa</w:t>
            </w:r>
            <w:proofErr w:type="spellEnd"/>
          </w:p>
        </w:tc>
      </w:tr>
      <w:tr w:rsidR="0013208D" w:rsidRPr="009111BF" w14:paraId="3416B405" w14:textId="77777777" w:rsidTr="00BA1BF7">
        <w:trPr>
          <w:trHeight w:val="711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E1E01" w14:textId="412CE0E2" w:rsidR="0013208D" w:rsidRPr="00BA1BF7" w:rsidRDefault="0013208D" w:rsidP="00DB68A3">
            <w:pPr>
              <w:spacing w:after="16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Priprema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D64EF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premijernih</w:t>
            </w:r>
            <w:proofErr w:type="spellEnd"/>
            <w:r w:rsidR="00CD64EF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plesnih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predstava</w:t>
            </w:r>
            <w:proofErr w:type="spellEnd"/>
            <w:r w:rsidR="001D3E07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3E07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</w:t>
            </w:r>
            <w:proofErr w:type="spellEnd"/>
            <w:r w:rsidR="001D3E07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3E07"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reprize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1ED9F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3.504.372,28 </w:t>
            </w:r>
            <w:proofErr w:type="spellStart"/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kn</w:t>
            </w:r>
            <w:proofErr w:type="spellEnd"/>
          </w:p>
          <w:p w14:paraId="5BE5BDC2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74 </w:t>
            </w:r>
            <w:proofErr w:type="spellStart"/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DA2E1" w14:textId="5DC2314D" w:rsidR="0013208D" w:rsidRPr="00BA1BF7" w:rsidRDefault="001D3E07" w:rsidP="001D3E0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1.</w:t>
            </w:r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406.000,00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</w:t>
            </w:r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</w:t>
            </w:r>
            <w:proofErr w:type="spellEnd"/>
          </w:p>
          <w:p w14:paraId="7B4E5EB0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59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  <w:p w14:paraId="089374AF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02309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4.186.752,80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667CD25B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99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  <w:p w14:paraId="5D9ECED7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85DDF" w14:textId="2877291E" w:rsidR="0013208D" w:rsidRPr="00BA1BF7" w:rsidRDefault="001D3E07" w:rsidP="001D3E0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  </w:t>
            </w:r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1.440.700,00</w:t>
            </w: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kn</w:t>
            </w:r>
            <w:proofErr w:type="spellEnd"/>
          </w:p>
          <w:p w14:paraId="4AD60396" w14:textId="474D8A2A" w:rsidR="0013208D" w:rsidRPr="00BA1BF7" w:rsidRDefault="0013208D" w:rsidP="00DB68A3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71 </w:t>
            </w:r>
            <w:proofErr w:type="gramStart"/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program</w:t>
            </w:r>
            <w:proofErr w:type="gramEnd"/>
          </w:p>
          <w:p w14:paraId="0F546797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3208D" w:rsidRPr="009111BF" w14:paraId="7C5A7DFE" w14:textId="77777777" w:rsidTr="00BA1BF7">
        <w:trPr>
          <w:trHeight w:val="895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3CAAE" w14:textId="77777777" w:rsidR="0013208D" w:rsidRPr="00BA1BF7" w:rsidRDefault="0013208D" w:rsidP="00DB68A3">
            <w:pPr>
              <w:spacing w:after="1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Ostali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programi</w:t>
            </w:r>
            <w:proofErr w:type="spellEnd"/>
          </w:p>
          <w:p w14:paraId="6604E514" w14:textId="5FF981C7" w:rsidR="001D3E07" w:rsidRPr="00BA1BF7" w:rsidRDefault="001D3E07" w:rsidP="00DB68A3">
            <w:pPr>
              <w:spacing w:after="1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proofErr w:type="gram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rezidencije</w:t>
            </w:r>
            <w:proofErr w:type="spellEnd"/>
            <w:proofErr w:type="gram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edukativni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programi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dr.</w:t>
            </w:r>
            <w:proofErr w:type="spellEnd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511A4" w14:textId="303B8BEA" w:rsidR="0013208D" w:rsidRPr="00BA1BF7" w:rsidRDefault="001D3E07" w:rsidP="001D3E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</w:t>
            </w:r>
            <w:r w:rsidR="0013208D"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556.316,50 </w:t>
            </w:r>
            <w:proofErr w:type="spellStart"/>
            <w:r w:rsidR="0013208D"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kn</w:t>
            </w:r>
            <w:proofErr w:type="spellEnd"/>
          </w:p>
          <w:p w14:paraId="7222AD5F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21 </w:t>
            </w:r>
            <w:proofErr w:type="gramStart"/>
            <w:r w:rsidRPr="00BA1BF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program</w:t>
            </w:r>
            <w:proofErr w:type="gramEnd"/>
          </w:p>
          <w:p w14:paraId="37620BD3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6C704C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0AF4D" w14:textId="532388A2" w:rsidR="0013208D" w:rsidRPr="00BA1BF7" w:rsidRDefault="001D3E07" w:rsidP="001D3E0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101.000,00 </w:t>
            </w:r>
            <w:proofErr w:type="spellStart"/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20E1ED99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5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205A3" w14:textId="4059B401" w:rsidR="0013208D" w:rsidRPr="00BA1BF7" w:rsidRDefault="009C7B51" w:rsidP="009C7B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621.206,00 </w:t>
            </w:r>
            <w:proofErr w:type="spellStart"/>
            <w:r w:rsidR="0013208D"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1B2F04BA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23 </w:t>
            </w:r>
            <w:proofErr w:type="spellStart"/>
            <w:r w:rsidRPr="00BA1BF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C0E14" w14:textId="7E712190" w:rsidR="0013208D" w:rsidRPr="00BA1BF7" w:rsidRDefault="001D3E07" w:rsidP="001D3E0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    </w:t>
            </w:r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152.</w:t>
            </w: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0</w:t>
            </w:r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00,00 </w:t>
            </w:r>
            <w:proofErr w:type="spellStart"/>
            <w:r w:rsidR="0013208D"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kn</w:t>
            </w:r>
            <w:proofErr w:type="spellEnd"/>
          </w:p>
          <w:p w14:paraId="5184CFA2" w14:textId="77777777" w:rsidR="0013208D" w:rsidRPr="00BA1BF7" w:rsidRDefault="0013208D" w:rsidP="00DB68A3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9 </w:t>
            </w:r>
            <w:proofErr w:type="spellStart"/>
            <w:r w:rsidRPr="00BA1BF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programa</w:t>
            </w:r>
            <w:proofErr w:type="spellEnd"/>
          </w:p>
          <w:p w14:paraId="6F1E66CB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3208D" w:rsidRPr="009111BF" w14:paraId="5C762170" w14:textId="77777777" w:rsidTr="00BA1BF7">
        <w:trPr>
          <w:trHeight w:val="1046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06A0B" w14:textId="77777777" w:rsidR="0013208D" w:rsidRPr="00BA1BF7" w:rsidRDefault="0013208D" w:rsidP="00DB68A3">
            <w:pPr>
              <w:spacing w:after="1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UKUPNO: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0E9B5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7.034.638,50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kn</w:t>
            </w:r>
            <w:proofErr w:type="spellEnd"/>
          </w:p>
          <w:p w14:paraId="7AE2AA0E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4A2CB1A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146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programa</w:t>
            </w:r>
            <w:proofErr w:type="spellEnd"/>
          </w:p>
          <w:p w14:paraId="54569390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7E377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2.752.370,00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648E1223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95AB49D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103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FB417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8.236.243,00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263CB405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1D2D93F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206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B6EC" w14:textId="2E1F44B9" w:rsidR="0013208D" w:rsidRPr="00BA1BF7" w:rsidRDefault="001D3E07" w:rsidP="001D3E0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  </w:t>
            </w:r>
            <w:r w:rsidR="0013208D"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  <w:r w:rsidR="00EC792F"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.927.</w:t>
            </w:r>
            <w:r w:rsidR="0013208D"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900</w:t>
            </w:r>
            <w:r w:rsidR="00EC792F"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,00</w:t>
            </w:r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3208D"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kn</w:t>
            </w:r>
            <w:proofErr w:type="spellEnd"/>
          </w:p>
          <w:p w14:paraId="640F4457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38BD97D2" w14:textId="77777777" w:rsidR="0013208D" w:rsidRPr="00BA1BF7" w:rsidRDefault="0013208D" w:rsidP="00DB68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144 </w:t>
            </w:r>
            <w:proofErr w:type="spellStart"/>
            <w:r w:rsidRPr="00BA1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programa</w:t>
            </w:r>
            <w:proofErr w:type="spellEnd"/>
          </w:p>
        </w:tc>
      </w:tr>
    </w:tbl>
    <w:p w14:paraId="12F1FFEF" w14:textId="77777777" w:rsidR="0013208D" w:rsidRPr="00F708AA" w:rsidRDefault="0013208D" w:rsidP="00617064">
      <w:pPr>
        <w:jc w:val="center"/>
        <w:rPr>
          <w:b/>
          <w:bCs/>
          <w:sz w:val="32"/>
          <w:szCs w:val="32"/>
          <w:lang w:val="hr-HR"/>
        </w:rPr>
      </w:pPr>
    </w:p>
    <w:p w14:paraId="194AD27D" w14:textId="4D92045F" w:rsidR="009571A2" w:rsidRPr="009C7B51" w:rsidRDefault="009571A2" w:rsidP="009C7B51">
      <w:pPr>
        <w:jc w:val="both"/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Druga godina rada u uvjetima pandemije dovela je u pitanje opstanak izvedbenih umjetnosti</w:t>
      </w:r>
      <w:r w:rsidR="00385FF5" w:rsidRPr="009C7B51">
        <w:rPr>
          <w:rFonts w:ascii="Arial" w:hAnsi="Arial" w:cs="Arial"/>
          <w:lang w:val="hr-HR"/>
        </w:rPr>
        <w:t>,</w:t>
      </w:r>
      <w:r w:rsidRPr="009C7B51">
        <w:rPr>
          <w:rFonts w:ascii="Arial" w:hAnsi="Arial" w:cs="Arial"/>
          <w:lang w:val="hr-HR"/>
        </w:rPr>
        <w:t xml:space="preserve"> a bila je i ozbiljna prijetnja najranjivijem području, institucionalno nezaštićenoj sceni suvremenog plesa. Prioritet u proteklom  razdoblju bio je opstanak plesnih umjetnika koji su pokazali veliku organizacijsku i umjetničku otpornost rada u posebnim uvjetima prilagodbom novim izvedbenim formama. </w:t>
      </w:r>
    </w:p>
    <w:p w14:paraId="1EA11810" w14:textId="77777777" w:rsidR="00617064" w:rsidRPr="009C7B51" w:rsidRDefault="00617064" w:rsidP="009C7B51">
      <w:pPr>
        <w:jc w:val="both"/>
        <w:rPr>
          <w:rFonts w:ascii="Arial" w:hAnsi="Arial" w:cs="Arial"/>
          <w:lang w:val="hr-HR"/>
        </w:rPr>
      </w:pPr>
    </w:p>
    <w:p w14:paraId="6679CCF7" w14:textId="265C7AA8" w:rsidR="009571A2" w:rsidRPr="009C7B51" w:rsidRDefault="00EC792F" w:rsidP="009C7B51">
      <w:pPr>
        <w:jc w:val="both"/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 xml:space="preserve">Ponovnim otvaranjem </w:t>
      </w:r>
      <w:r w:rsidR="009571A2" w:rsidRPr="009C7B51">
        <w:rPr>
          <w:rFonts w:ascii="Arial" w:hAnsi="Arial" w:cs="Arial"/>
          <w:lang w:val="hr-HR"/>
        </w:rPr>
        <w:t>prostora</w:t>
      </w:r>
      <w:r w:rsidRPr="009C7B51">
        <w:rPr>
          <w:rFonts w:ascii="Arial" w:hAnsi="Arial" w:cs="Arial"/>
          <w:lang w:val="hr-HR"/>
        </w:rPr>
        <w:t xml:space="preserve"> za plesne izvedbe</w:t>
      </w:r>
      <w:r w:rsidR="009571A2" w:rsidRPr="009C7B51">
        <w:rPr>
          <w:rFonts w:ascii="Arial" w:hAnsi="Arial" w:cs="Arial"/>
          <w:lang w:val="hr-HR"/>
        </w:rPr>
        <w:t xml:space="preserve"> broj realiziranih programa se povećao, kao i potreba za prikazivanjem plesnih predstava diljem Hrvatske, što se vidi iz pristiglih broja prijava. Uz financiranje premijernih plesnih predstava u jednakom omjeru su podržane reprizne izvedbe kao i gostovanja</w:t>
      </w:r>
      <w:r w:rsidR="00385FF5" w:rsidRPr="009C7B51">
        <w:rPr>
          <w:rFonts w:ascii="Arial" w:hAnsi="Arial" w:cs="Arial"/>
          <w:lang w:val="hr-HR"/>
        </w:rPr>
        <w:t>,</w:t>
      </w:r>
      <w:r w:rsidR="009571A2" w:rsidRPr="009C7B51">
        <w:rPr>
          <w:rFonts w:ascii="Arial" w:hAnsi="Arial" w:cs="Arial"/>
          <w:lang w:val="hr-HR"/>
        </w:rPr>
        <w:t xml:space="preserve"> što doprinosi cilju održavanja vidljivosti suvremenog plesa</w:t>
      </w:r>
      <w:r w:rsidRPr="009C7B51">
        <w:rPr>
          <w:rFonts w:ascii="Arial" w:hAnsi="Arial" w:cs="Arial"/>
          <w:lang w:val="hr-HR"/>
        </w:rPr>
        <w:t xml:space="preserve"> i</w:t>
      </w:r>
      <w:r w:rsidR="009571A2" w:rsidRPr="009C7B51">
        <w:rPr>
          <w:rFonts w:ascii="Arial" w:hAnsi="Arial" w:cs="Arial"/>
          <w:lang w:val="hr-HR"/>
        </w:rPr>
        <w:t xml:space="preserve"> decentralizacije</w:t>
      </w:r>
      <w:r w:rsidRPr="009C7B51">
        <w:rPr>
          <w:rFonts w:ascii="Arial" w:hAnsi="Arial" w:cs="Arial"/>
          <w:lang w:val="hr-HR"/>
        </w:rPr>
        <w:t xml:space="preserve"> kao jednom od kriterija vrednovanja programa</w:t>
      </w:r>
      <w:r w:rsidR="009571A2" w:rsidRPr="009C7B51">
        <w:rPr>
          <w:rFonts w:ascii="Arial" w:hAnsi="Arial" w:cs="Arial"/>
          <w:lang w:val="hr-HR"/>
        </w:rPr>
        <w:t>.</w:t>
      </w:r>
    </w:p>
    <w:p w14:paraId="69B90B7A" w14:textId="77777777" w:rsidR="009571A2" w:rsidRPr="009C7B51" w:rsidRDefault="009571A2" w:rsidP="009C7B51">
      <w:pPr>
        <w:jc w:val="both"/>
        <w:rPr>
          <w:rFonts w:ascii="Arial" w:hAnsi="Arial" w:cs="Arial"/>
          <w:lang w:val="hr-HR"/>
        </w:rPr>
      </w:pPr>
    </w:p>
    <w:p w14:paraId="7AFA28CC" w14:textId="6589969F" w:rsidR="009571A2" w:rsidRPr="009C7B51" w:rsidRDefault="009571A2" w:rsidP="009C7B51">
      <w:pPr>
        <w:jc w:val="both"/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Sredstva za premijerne predstave raspodijeljena su prema principu izvrsnosti</w:t>
      </w:r>
      <w:r w:rsidR="008B43AB" w:rsidRPr="009C7B51">
        <w:rPr>
          <w:rFonts w:ascii="Arial" w:hAnsi="Arial" w:cs="Arial"/>
          <w:lang w:val="hr-HR"/>
        </w:rPr>
        <w:t>,</w:t>
      </w:r>
      <w:r w:rsidRPr="009C7B51">
        <w:rPr>
          <w:rFonts w:ascii="Arial" w:hAnsi="Arial" w:cs="Arial"/>
          <w:lang w:val="hr-HR"/>
        </w:rPr>
        <w:t xml:space="preserve"> ali i razumijevajući širinu izvedbene baze. Jednako se razmišljalo i o mladim neafirmiranim koreografima kao generatorima novih plesnih promišljanja koji okupljaju mladu publiku, koreografima koji djeluju dugi niz godina te svojim radom zaslužuju kontinuitet financiranja, koreografima koji su dokazali </w:t>
      </w:r>
      <w:r w:rsidR="00EC792F" w:rsidRPr="009C7B51">
        <w:rPr>
          <w:rFonts w:ascii="Arial" w:hAnsi="Arial" w:cs="Arial"/>
          <w:lang w:val="hr-HR"/>
        </w:rPr>
        <w:t xml:space="preserve">svoju </w:t>
      </w:r>
      <w:r w:rsidRPr="009C7B51">
        <w:rPr>
          <w:rFonts w:ascii="Arial" w:hAnsi="Arial" w:cs="Arial"/>
          <w:lang w:val="hr-HR"/>
        </w:rPr>
        <w:t>inovativnost</w:t>
      </w:r>
      <w:r w:rsidR="008B43AB" w:rsidRPr="009C7B51">
        <w:rPr>
          <w:rFonts w:ascii="Arial" w:hAnsi="Arial" w:cs="Arial"/>
          <w:lang w:val="hr-HR"/>
        </w:rPr>
        <w:t>,</w:t>
      </w:r>
      <w:r w:rsidRPr="009C7B51">
        <w:rPr>
          <w:rFonts w:ascii="Arial" w:hAnsi="Arial" w:cs="Arial"/>
          <w:lang w:val="hr-HR"/>
        </w:rPr>
        <w:t xml:space="preserve"> kao i koreografima koji su postigli vidljivost i uspjeh na međunarodnoj sceni te ansambli</w:t>
      </w:r>
      <w:r w:rsidR="008B43AB" w:rsidRPr="009C7B51">
        <w:rPr>
          <w:rFonts w:ascii="Arial" w:hAnsi="Arial" w:cs="Arial"/>
          <w:lang w:val="hr-HR"/>
        </w:rPr>
        <w:t>ma koji djeluju dugi niz godina.</w:t>
      </w:r>
    </w:p>
    <w:p w14:paraId="69FC265F" w14:textId="2FCD0A4B" w:rsidR="009571A2" w:rsidRPr="009C7B51" w:rsidRDefault="009571A2" w:rsidP="009C7B51">
      <w:pPr>
        <w:jc w:val="both"/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U cilju održivosti plesne scene i razvoja plesne publike podržane su reprizne izvedbe u jednakom omjeru kao i pripreme plesnih predstava.</w:t>
      </w:r>
    </w:p>
    <w:p w14:paraId="6810BA48" w14:textId="77777777" w:rsidR="00617064" w:rsidRPr="009C7B51" w:rsidRDefault="00617064" w:rsidP="009C7B51">
      <w:pPr>
        <w:jc w:val="both"/>
        <w:rPr>
          <w:rFonts w:ascii="Arial" w:hAnsi="Arial" w:cs="Arial"/>
          <w:lang w:val="hr-HR"/>
        </w:rPr>
      </w:pPr>
    </w:p>
    <w:p w14:paraId="09590BEB" w14:textId="0E509B27" w:rsidR="009571A2" w:rsidRPr="009C7B51" w:rsidRDefault="009571A2" w:rsidP="009C7B51">
      <w:pPr>
        <w:jc w:val="both"/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Plesna g</w:t>
      </w:r>
      <w:r w:rsidR="0013208D" w:rsidRPr="009C7B51">
        <w:rPr>
          <w:rFonts w:ascii="Arial" w:hAnsi="Arial" w:cs="Arial"/>
          <w:lang w:val="hr-HR"/>
        </w:rPr>
        <w:t>ostovanja su financirana za 25</w:t>
      </w:r>
      <w:r w:rsidR="00617064" w:rsidRPr="009C7B51">
        <w:rPr>
          <w:rFonts w:ascii="Arial" w:hAnsi="Arial" w:cs="Arial"/>
          <w:lang w:val="hr-HR"/>
        </w:rPr>
        <w:t xml:space="preserve"> </w:t>
      </w:r>
      <w:r w:rsidRPr="009C7B51">
        <w:rPr>
          <w:rFonts w:ascii="Arial" w:hAnsi="Arial" w:cs="Arial"/>
          <w:lang w:val="hr-HR"/>
        </w:rPr>
        <w:t>% više u odnosu na prošlu 2021.</w:t>
      </w:r>
      <w:r w:rsidR="00617064" w:rsidRPr="009C7B51">
        <w:rPr>
          <w:rFonts w:ascii="Arial" w:hAnsi="Arial" w:cs="Arial"/>
          <w:lang w:val="hr-HR"/>
        </w:rPr>
        <w:t xml:space="preserve"> </w:t>
      </w:r>
      <w:r w:rsidRPr="009C7B51">
        <w:rPr>
          <w:rFonts w:ascii="Arial" w:hAnsi="Arial" w:cs="Arial"/>
          <w:lang w:val="hr-HR"/>
        </w:rPr>
        <w:t>godinu dok je broj prijavljenih</w:t>
      </w:r>
      <w:r w:rsidR="0013208D" w:rsidRPr="009C7B51">
        <w:rPr>
          <w:rFonts w:ascii="Arial" w:hAnsi="Arial" w:cs="Arial"/>
          <w:lang w:val="hr-HR"/>
        </w:rPr>
        <w:t xml:space="preserve"> programa bio veći čak za 117</w:t>
      </w:r>
      <w:r w:rsidR="00617064" w:rsidRPr="009C7B51">
        <w:rPr>
          <w:rFonts w:ascii="Arial" w:hAnsi="Arial" w:cs="Arial"/>
          <w:lang w:val="hr-HR"/>
        </w:rPr>
        <w:t xml:space="preserve"> </w:t>
      </w:r>
      <w:r w:rsidRPr="009C7B51">
        <w:rPr>
          <w:rFonts w:ascii="Arial" w:hAnsi="Arial" w:cs="Arial"/>
          <w:lang w:val="hr-HR"/>
        </w:rPr>
        <w:t>% u odnosu na prošlu godinu. Ukazala se potreba za većom distribucijom plesnih predstava kao i  otvorenošću izvedbenih prostora suvremenom plesu, čak i u manjim gradovima Hrvatske, što pokazuje uspjeh kulturne politike decentralizacije.</w:t>
      </w:r>
    </w:p>
    <w:p w14:paraId="4E6DB4B9" w14:textId="77777777" w:rsidR="00617064" w:rsidRPr="009C7B51" w:rsidRDefault="00617064" w:rsidP="009C7B51">
      <w:pPr>
        <w:jc w:val="both"/>
        <w:rPr>
          <w:rFonts w:ascii="Arial" w:hAnsi="Arial" w:cs="Arial"/>
          <w:lang w:val="hr-HR"/>
        </w:rPr>
      </w:pPr>
    </w:p>
    <w:p w14:paraId="382ADE15" w14:textId="7DDB78BD" w:rsidR="009571A2" w:rsidRPr="009C7B51" w:rsidRDefault="009571A2" w:rsidP="00617064">
      <w:p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Osim izvrsnosti Stručno povjerenstvo vodilo se i sljedećim kriterijima koji su bili važni za donošenje odluka o financiranju:</w:t>
      </w:r>
    </w:p>
    <w:p w14:paraId="67B3E444" w14:textId="77777777" w:rsidR="00F708AA" w:rsidRPr="009C7B51" w:rsidRDefault="00F708AA" w:rsidP="00617064">
      <w:pPr>
        <w:rPr>
          <w:rFonts w:ascii="Arial" w:hAnsi="Arial" w:cs="Arial"/>
          <w:lang w:val="hr-HR"/>
        </w:rPr>
      </w:pPr>
    </w:p>
    <w:p w14:paraId="5F96AFCE" w14:textId="77777777" w:rsidR="009571A2" w:rsidRPr="009C7B51" w:rsidRDefault="009571A2" w:rsidP="00617064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Broj  samostalnih umjetnika u pojedinom projektu</w:t>
      </w:r>
    </w:p>
    <w:p w14:paraId="32E36C6B" w14:textId="77777777" w:rsidR="009571A2" w:rsidRPr="009C7B51" w:rsidRDefault="009571A2" w:rsidP="00617064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Broj izvođača u pojedinom projektu</w:t>
      </w:r>
    </w:p>
    <w:p w14:paraId="59C32501" w14:textId="77777777" w:rsidR="009571A2" w:rsidRPr="009C7B51" w:rsidRDefault="009571A2" w:rsidP="00617064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Poticanje međunarodnog umrežavanja kroz podršku koprodukcijama</w:t>
      </w:r>
    </w:p>
    <w:p w14:paraId="2E6F72ED" w14:textId="77777777" w:rsidR="009571A2" w:rsidRPr="009C7B51" w:rsidRDefault="009571A2" w:rsidP="00617064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 xml:space="preserve">Decentralizacija plesne scene </w:t>
      </w:r>
    </w:p>
    <w:p w14:paraId="0498C698" w14:textId="77777777" w:rsidR="009571A2" w:rsidRPr="009C7B51" w:rsidRDefault="009571A2" w:rsidP="00617064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Održivost projekta kroz reprizne izvedbe</w:t>
      </w:r>
    </w:p>
    <w:p w14:paraId="2448DCA9" w14:textId="77777777" w:rsidR="00617064" w:rsidRPr="009C7B51" w:rsidRDefault="00617064" w:rsidP="00617064">
      <w:pPr>
        <w:rPr>
          <w:rFonts w:ascii="Arial" w:hAnsi="Arial" w:cs="Arial"/>
          <w:lang w:val="hr-HR"/>
        </w:rPr>
      </w:pPr>
    </w:p>
    <w:p w14:paraId="7407562F" w14:textId="40EB7734" w:rsidR="009571A2" w:rsidRPr="009C7B51" w:rsidRDefault="009571A2" w:rsidP="00617064">
      <w:p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Stručno povjerenstvo smatra da se za sljedeću godinu trebaju doraditi smjernice za suvremeni ples i pokret koje su objavljene uz Poziv za predlaganje programa javnih potreba u kulturi RH za 2021. godinu.</w:t>
      </w:r>
    </w:p>
    <w:p w14:paraId="0DD31780" w14:textId="77777777" w:rsidR="009571A2" w:rsidRPr="009C7B51" w:rsidRDefault="009571A2" w:rsidP="00617064">
      <w:pPr>
        <w:rPr>
          <w:rFonts w:ascii="Arial" w:hAnsi="Arial" w:cs="Arial"/>
          <w:lang w:val="hr-HR"/>
        </w:rPr>
      </w:pPr>
    </w:p>
    <w:p w14:paraId="18CEFFB7" w14:textId="6ECC0DC3" w:rsidR="009571A2" w:rsidRPr="009C7B51" w:rsidRDefault="009571A2" w:rsidP="00617064">
      <w:p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U Zagrebu 27. prosinca 2021.</w:t>
      </w:r>
    </w:p>
    <w:p w14:paraId="5834D4DD" w14:textId="77777777" w:rsidR="009571A2" w:rsidRPr="009C7B51" w:rsidRDefault="009571A2" w:rsidP="00617064">
      <w:p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 </w:t>
      </w:r>
    </w:p>
    <w:p w14:paraId="240AEDEB" w14:textId="77777777" w:rsidR="009C7B51" w:rsidRPr="009C7B51" w:rsidRDefault="009571A2" w:rsidP="00617064">
      <w:pPr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Stručno povjerenstvo:</w:t>
      </w:r>
    </w:p>
    <w:p w14:paraId="3CB85C1B" w14:textId="60F59663" w:rsidR="009571A2" w:rsidRPr="009C7B51" w:rsidRDefault="009571A2" w:rsidP="00617064">
      <w:pPr>
        <w:rPr>
          <w:rFonts w:ascii="Arial" w:hAnsi="Arial" w:cs="Arial"/>
          <w:lang w:val="hr-HR"/>
        </w:rPr>
      </w:pPr>
    </w:p>
    <w:p w14:paraId="4524EE8D" w14:textId="2E30B417" w:rsidR="00617064" w:rsidRPr="009C7B51" w:rsidRDefault="009571A2" w:rsidP="00CD64EF">
      <w:pPr>
        <w:spacing w:line="360" w:lineRule="auto"/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 xml:space="preserve">Matija </w:t>
      </w:r>
      <w:proofErr w:type="spellStart"/>
      <w:r w:rsidRPr="009C7B51">
        <w:rPr>
          <w:rFonts w:ascii="Arial" w:hAnsi="Arial" w:cs="Arial"/>
          <w:lang w:val="hr-HR"/>
        </w:rPr>
        <w:t>Ferlin</w:t>
      </w:r>
      <w:proofErr w:type="spellEnd"/>
      <w:r w:rsidR="009C7B51" w:rsidRPr="00F708AA">
        <w:rPr>
          <w:noProof/>
        </w:rPr>
        <w:drawing>
          <wp:inline distT="0" distB="0" distL="0" distR="0" wp14:anchorId="1D799C0B" wp14:editId="5D6402A0">
            <wp:extent cx="1274358" cy="768985"/>
            <wp:effectExtent l="0" t="0" r="2540" b="0"/>
            <wp:docPr id="1" name="Picture 1" descr="Macintosh HD:Users:matija:Downloads:Potpis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ija:Downloads:Potpism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89" cy="7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4531" w14:textId="77777777" w:rsidR="009C7B51" w:rsidRDefault="009571A2" w:rsidP="00CD64EF">
      <w:pPr>
        <w:spacing w:line="360" w:lineRule="auto"/>
        <w:rPr>
          <w:rFonts w:ascii="Arial" w:hAnsi="Arial" w:cs="Arial"/>
          <w:lang w:val="hr-HR"/>
        </w:rPr>
      </w:pPr>
      <w:r w:rsidRPr="009C7B51">
        <w:rPr>
          <w:rFonts w:ascii="Arial" w:hAnsi="Arial" w:cs="Arial"/>
          <w:lang w:val="hr-HR"/>
        </w:rPr>
        <w:t>Snježana Abramović Milković</w:t>
      </w:r>
    </w:p>
    <w:p w14:paraId="48FA0A7A" w14:textId="517A7124" w:rsidR="009571A2" w:rsidRPr="00F708AA" w:rsidRDefault="009C7B51" w:rsidP="00CD64EF">
      <w:pPr>
        <w:spacing w:line="360" w:lineRule="auto"/>
        <w:rPr>
          <w:lang w:val="hr-HR"/>
        </w:rPr>
      </w:pPr>
      <w:r w:rsidRPr="009C7B51">
        <w:rPr>
          <w:sz w:val="28"/>
          <w:szCs w:val="28"/>
          <w:lang w:val="hr-HR"/>
        </w:rPr>
        <w:t>doc. Martina Granić</w:t>
      </w:r>
    </w:p>
    <w:sectPr w:rsidR="009571A2" w:rsidRPr="00F70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5B2"/>
    <w:multiLevelType w:val="hybridMultilevel"/>
    <w:tmpl w:val="90823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D3C57"/>
    <w:multiLevelType w:val="multilevel"/>
    <w:tmpl w:val="087A8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A5AF4"/>
    <w:multiLevelType w:val="hybridMultilevel"/>
    <w:tmpl w:val="156C2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A2"/>
    <w:rsid w:val="000215BB"/>
    <w:rsid w:val="000800FD"/>
    <w:rsid w:val="0013208D"/>
    <w:rsid w:val="001D3E07"/>
    <w:rsid w:val="00385FF5"/>
    <w:rsid w:val="00617064"/>
    <w:rsid w:val="008B43AB"/>
    <w:rsid w:val="009571A2"/>
    <w:rsid w:val="009753C0"/>
    <w:rsid w:val="009C7B51"/>
    <w:rsid w:val="00BA1BF7"/>
    <w:rsid w:val="00C51CA7"/>
    <w:rsid w:val="00C93E9B"/>
    <w:rsid w:val="00CD64EF"/>
    <w:rsid w:val="00EC792F"/>
    <w:rsid w:val="00F7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8DDB8"/>
  <w15:docId w15:val="{4156FFF6-F139-44DC-91E7-458B7586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A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70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3E9B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3E9B"/>
    <w:rPr>
      <w:rFonts w:ascii="Lucida Grande" w:eastAsiaTheme="minorEastAsia" w:hAnsi="Lucida Grande" w:cs="Lucida Grande"/>
      <w:sz w:val="18"/>
      <w:szCs w:val="18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85F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F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FF5"/>
    <w:rPr>
      <w:rFonts w:eastAsiaTheme="minorEastAsia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F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FF5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Murat</dc:creator>
  <cp:keywords/>
  <dc:description/>
  <cp:lastModifiedBy>Jasenka</cp:lastModifiedBy>
  <cp:revision>8</cp:revision>
  <dcterms:created xsi:type="dcterms:W3CDTF">2022-02-03T13:01:00Z</dcterms:created>
  <dcterms:modified xsi:type="dcterms:W3CDTF">2022-02-08T05:35:00Z</dcterms:modified>
</cp:coreProperties>
</file>